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A37D" w14:textId="77777777" w:rsidR="00DA413C" w:rsidRDefault="00DA413C" w:rsidP="00DA413C">
      <w:pPr>
        <w:jc w:val="center"/>
        <w:rPr>
          <w:rFonts w:ascii="標楷體" w:eastAsia="標楷體" w:hAnsi="標楷體" w:cs="Gungsuh"/>
          <w:color w:val="000000" w:themeColor="text1"/>
          <w:szCs w:val="24"/>
        </w:rPr>
      </w:pPr>
      <w:r w:rsidRPr="00DA413C">
        <w:rPr>
          <w:rFonts w:ascii="標楷體" w:eastAsia="標楷體" w:hAnsi="標楷體" w:cs="Gungsuh" w:hint="eastAsia"/>
          <w:color w:val="000000" w:themeColor="text1"/>
          <w:szCs w:val="24"/>
        </w:rPr>
        <w:t>社會實踐</w:t>
      </w:r>
      <w:r w:rsidRPr="00DA413C">
        <w:rPr>
          <w:rFonts w:ascii="標楷體" w:eastAsia="標楷體" w:hAnsi="標楷體" w:cs="新細明體" w:hint="eastAsia"/>
          <w:color w:val="000000" w:themeColor="text1"/>
          <w:szCs w:val="24"/>
        </w:rPr>
        <w:t>基金補助申請</w:t>
      </w:r>
      <w:r w:rsidRPr="00DA413C">
        <w:rPr>
          <w:rFonts w:ascii="標楷體" w:eastAsia="標楷體" w:hAnsi="標楷體" w:cs="Gungsuh" w:hint="eastAsia"/>
          <w:color w:val="000000" w:themeColor="text1"/>
          <w:szCs w:val="24"/>
        </w:rPr>
        <w:t>計畫書</w:t>
      </w:r>
    </w:p>
    <w:p w14:paraId="3BCA6FB8" w14:textId="76FF168E" w:rsidR="00DA413C" w:rsidRDefault="00225292" w:rsidP="00DA413C">
      <w:pPr>
        <w:jc w:val="cente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失語的左派</w:t>
      </w:r>
      <w:r w:rsidR="00DA413C">
        <w:rPr>
          <w:rFonts w:ascii="標楷體" w:eastAsia="標楷體" w:hAnsi="標楷體" w:cs="Gungsuh" w:hint="eastAsia"/>
          <w:color w:val="000000" w:themeColor="text1"/>
          <w:szCs w:val="24"/>
        </w:rPr>
        <w:t>？探討台灣</w:t>
      </w:r>
      <w:r>
        <w:rPr>
          <w:rFonts w:ascii="標楷體" w:eastAsia="標楷體" w:hAnsi="標楷體" w:cs="Gungsuh" w:hint="eastAsia"/>
          <w:color w:val="000000" w:themeColor="text1"/>
          <w:szCs w:val="24"/>
        </w:rPr>
        <w:t>人民的左右意識形態</w:t>
      </w:r>
    </w:p>
    <w:p w14:paraId="1227930E" w14:textId="50BB640B" w:rsidR="00DA413C" w:rsidRDefault="00DA413C" w:rsidP="00DA413C">
      <w:pPr>
        <w:jc w:val="cente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社學四 陳鵬宇</w:t>
      </w:r>
    </w:p>
    <w:p w14:paraId="7123492D" w14:textId="05A4D177" w:rsidR="00DA413C" w:rsidRPr="00DA413C" w:rsidRDefault="00DA413C" w:rsidP="00DA413C">
      <w:pPr>
        <w:pStyle w:val="a3"/>
        <w:numPr>
          <w:ilvl w:val="0"/>
          <w:numId w:val="1"/>
        </w:numPr>
        <w:ind w:leftChars="0"/>
        <w:rPr>
          <w:rFonts w:ascii="標楷體" w:eastAsia="標楷體" w:hAnsi="標楷體" w:cs="Gungsuh"/>
          <w:color w:val="000000" w:themeColor="text1"/>
          <w:szCs w:val="24"/>
        </w:rPr>
      </w:pPr>
      <w:r w:rsidRPr="00DA413C">
        <w:rPr>
          <w:rFonts w:ascii="標楷體" w:eastAsia="標楷體" w:hAnsi="標楷體" w:cs="Gungsuh" w:hint="eastAsia"/>
          <w:color w:val="000000" w:themeColor="text1"/>
          <w:szCs w:val="24"/>
        </w:rPr>
        <w:t>實踐動機</w:t>
      </w:r>
    </w:p>
    <w:p w14:paraId="6574D3F6" w14:textId="6B2EA58A" w:rsidR="00DA413C" w:rsidRPr="00DA413C" w:rsidRDefault="00DA413C" w:rsidP="00DA413C">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 xml:space="preserve">  </w:t>
      </w:r>
      <w:r w:rsidRPr="00DA413C">
        <w:rPr>
          <w:rFonts w:ascii="標楷體" w:eastAsia="標楷體" w:hAnsi="標楷體" w:cs="Gungsuh" w:hint="eastAsia"/>
          <w:color w:val="000000" w:themeColor="text1"/>
          <w:szCs w:val="24"/>
        </w:rPr>
        <w:t>在歐洲的民主國家中，左派與右派意識形態是主要的政治競爭分歧，根源於法國大革命時期，因社會階級的差異，而形成的主張平等的改革激進勢力與反對改革的保守勢力。而在現代的時空背景下，左派和右派可以依民眾對政府干預程度的期望作為判斷標準，也是多數西方民主國家政治競爭的分野。</w:t>
      </w:r>
    </w:p>
    <w:p w14:paraId="2E2968C3" w14:textId="4DF48013" w:rsidR="00DA413C" w:rsidRDefault="00DA413C" w:rsidP="00DA413C">
      <w:pPr>
        <w:rPr>
          <w:rFonts w:ascii="標楷體" w:eastAsia="標楷體" w:hAnsi="標楷體" w:cs="Gungsuh"/>
          <w:color w:val="000000" w:themeColor="text1"/>
          <w:szCs w:val="24"/>
        </w:rPr>
      </w:pPr>
      <w:r w:rsidRPr="00DA413C">
        <w:rPr>
          <w:rFonts w:ascii="標楷體" w:eastAsia="標楷體" w:hAnsi="標楷體" w:cs="Gungsuh" w:hint="eastAsia"/>
          <w:color w:val="000000" w:themeColor="text1"/>
          <w:szCs w:val="24"/>
        </w:rPr>
        <w:t xml:space="preserve">  我國由於歷史背景因素，政黨分野過往以統獨議題及對中政策為政黨意識形態及競爭點，而非西方國家傳統的自由主義和保守主義為分野，兩大黨也並不以左右派為自我定位或宣傳方向，以致一般民眾雖然有對兩大黨的左右派傾向有所認知，但並不清楚甚至誤解左右意識形態之意涵，甚至有部分民眾將左派與負面的概念作出連結。</w:t>
      </w:r>
    </w:p>
    <w:p w14:paraId="7B1D9C10" w14:textId="078FCE3E" w:rsidR="00DA413C" w:rsidRDefault="00DA413C" w:rsidP="00DA413C">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 xml:space="preserve">  </w:t>
      </w:r>
      <w:r w:rsidR="00731420" w:rsidRPr="00731420">
        <w:rPr>
          <w:rFonts w:ascii="標楷體" w:eastAsia="標楷體" w:hAnsi="標楷體" w:cs="Gungsuh" w:hint="eastAsia"/>
          <w:color w:val="000000" w:themeColor="text1"/>
          <w:szCs w:val="24"/>
        </w:rPr>
        <w:t>若探究兩大黨的左右派立場，各界說法莫衷一是，學界、媒體與民眾對兩大主要政黨的立場存有諸多見解，包括分屬左右兩派、皆屬右派、皆為左派。對於台灣民眾而言，對於左派及其政策較為負面的認知</w:t>
      </w:r>
      <w:r w:rsidR="00731420">
        <w:rPr>
          <w:rFonts w:ascii="標楷體" w:eastAsia="標楷體" w:hAnsi="標楷體" w:cs="Gungsuh" w:hint="eastAsia"/>
          <w:color w:val="000000" w:themeColor="text1"/>
          <w:szCs w:val="24"/>
        </w:rPr>
        <w:t>，</w:t>
      </w:r>
      <w:r w:rsidR="0084748A">
        <w:rPr>
          <w:rFonts w:ascii="標楷體" w:eastAsia="標楷體" w:hAnsi="標楷體" w:cs="Gungsuh" w:hint="eastAsia"/>
          <w:color w:val="000000" w:themeColor="text1"/>
          <w:szCs w:val="24"/>
        </w:rPr>
        <w:t>似乎更進而使民眾眼中偏向左派的政黨，在執政後卻轉向偏好右派的政策，也有勞工運動者發出台灣根本沒有左派的喟嘆</w:t>
      </w:r>
      <w:r w:rsidR="00731420" w:rsidRPr="00731420">
        <w:rPr>
          <w:rFonts w:ascii="標楷體" w:eastAsia="標楷體" w:hAnsi="標楷體" w:cs="Gungsuh" w:hint="eastAsia"/>
          <w:color w:val="000000" w:themeColor="text1"/>
          <w:szCs w:val="24"/>
        </w:rPr>
        <w:t>。</w:t>
      </w:r>
      <w:r w:rsidR="00731420">
        <w:rPr>
          <w:rFonts w:ascii="標楷體" w:eastAsia="標楷體" w:hAnsi="標楷體" w:cs="Gungsuh" w:hint="eastAsia"/>
          <w:color w:val="000000" w:themeColor="text1"/>
          <w:szCs w:val="24"/>
        </w:rPr>
        <w:t>因此，</w:t>
      </w:r>
      <w:r>
        <w:rPr>
          <w:rFonts w:ascii="標楷體" w:eastAsia="標楷體" w:hAnsi="標楷體" w:cs="Gungsuh" w:hint="eastAsia"/>
          <w:color w:val="000000" w:themeColor="text1"/>
          <w:szCs w:val="24"/>
        </w:rPr>
        <w:t>筆者企圖透過此次</w:t>
      </w:r>
      <w:r w:rsidR="00731420">
        <w:rPr>
          <w:rFonts w:ascii="標楷體" w:eastAsia="標楷體" w:hAnsi="標楷體" w:cs="Gungsuh" w:hint="eastAsia"/>
          <w:color w:val="000000" w:themeColor="text1"/>
          <w:szCs w:val="24"/>
        </w:rPr>
        <w:t>社會實驗為契機</w:t>
      </w:r>
      <w:r>
        <w:rPr>
          <w:rFonts w:ascii="標楷體" w:eastAsia="標楷體" w:hAnsi="標楷體" w:cs="Gungsuh" w:hint="eastAsia"/>
          <w:color w:val="000000" w:themeColor="text1"/>
          <w:szCs w:val="24"/>
        </w:rPr>
        <w:t>，</w:t>
      </w:r>
      <w:r w:rsidR="00731420">
        <w:rPr>
          <w:rFonts w:ascii="標楷體" w:eastAsia="標楷體" w:hAnsi="標楷體" w:cs="Gungsuh" w:hint="eastAsia"/>
          <w:color w:val="000000" w:themeColor="text1"/>
          <w:szCs w:val="24"/>
        </w:rPr>
        <w:t>探究台灣民眾的意識形態，並以社會學的角度勾勒出台灣民眾對左派負面既定印象之輪廓</w:t>
      </w:r>
      <w:r w:rsidR="0084748A">
        <w:rPr>
          <w:rFonts w:ascii="標楷體" w:eastAsia="標楷體" w:hAnsi="標楷體" w:cs="Gungsuh" w:hint="eastAsia"/>
          <w:color w:val="000000" w:themeColor="text1"/>
          <w:szCs w:val="24"/>
        </w:rPr>
        <w:t>，替失語於台灣社會的左派發聲</w:t>
      </w:r>
      <w:r w:rsidR="00731420">
        <w:rPr>
          <w:rFonts w:ascii="標楷體" w:eastAsia="標楷體" w:hAnsi="標楷體" w:cs="Gungsuh" w:hint="eastAsia"/>
          <w:color w:val="000000" w:themeColor="text1"/>
          <w:szCs w:val="24"/>
        </w:rPr>
        <w:t>。</w:t>
      </w:r>
    </w:p>
    <w:p w14:paraId="6692C20D" w14:textId="77777777" w:rsidR="0052688F" w:rsidRDefault="0052688F" w:rsidP="00DA413C">
      <w:pPr>
        <w:rPr>
          <w:rFonts w:ascii="標楷體" w:eastAsia="標楷體" w:hAnsi="標楷體" w:cs="Gungsuh"/>
          <w:color w:val="000000" w:themeColor="text1"/>
          <w:szCs w:val="24"/>
        </w:rPr>
      </w:pPr>
    </w:p>
    <w:p w14:paraId="6670E87C" w14:textId="12109DDA" w:rsidR="00731420" w:rsidRPr="00731420" w:rsidRDefault="00731420" w:rsidP="00731420">
      <w:pPr>
        <w:pStyle w:val="a3"/>
        <w:numPr>
          <w:ilvl w:val="0"/>
          <w:numId w:val="1"/>
        </w:numPr>
        <w:ind w:leftChars="0"/>
        <w:rPr>
          <w:rFonts w:ascii="標楷體" w:eastAsia="標楷體" w:hAnsi="標楷體" w:cs="Gungsuh"/>
          <w:color w:val="000000" w:themeColor="text1"/>
          <w:szCs w:val="24"/>
        </w:rPr>
      </w:pPr>
      <w:r w:rsidRPr="00731420">
        <w:rPr>
          <w:rFonts w:ascii="標楷體" w:eastAsia="標楷體" w:hAnsi="標楷體" w:cs="Gungsuh" w:hint="eastAsia"/>
          <w:color w:val="000000" w:themeColor="text1"/>
          <w:szCs w:val="24"/>
        </w:rPr>
        <w:t>實踐方法</w:t>
      </w:r>
    </w:p>
    <w:p w14:paraId="0021218C" w14:textId="5080CF04" w:rsidR="00731420" w:rsidRDefault="00731420" w:rsidP="00731420">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 xml:space="preserve">  本研究企圖從兩方面著手探究台灣民眾對左右</w:t>
      </w:r>
      <w:r w:rsidR="0084748A">
        <w:rPr>
          <w:rFonts w:ascii="標楷體" w:eastAsia="標楷體" w:hAnsi="標楷體" w:cs="Gungsuh" w:hint="eastAsia"/>
          <w:color w:val="000000" w:themeColor="text1"/>
          <w:szCs w:val="24"/>
        </w:rPr>
        <w:t>意識形態的認知。首先</w:t>
      </w:r>
      <w:r>
        <w:rPr>
          <w:rFonts w:ascii="標楷體" w:eastAsia="標楷體" w:hAnsi="標楷體" w:cs="Gungsuh" w:hint="eastAsia"/>
          <w:color w:val="000000" w:themeColor="text1"/>
          <w:szCs w:val="24"/>
        </w:rPr>
        <w:t>透過文本分析的方式，</w:t>
      </w:r>
      <w:r w:rsidR="0084748A">
        <w:rPr>
          <w:rFonts w:ascii="標楷體" w:eastAsia="標楷體" w:hAnsi="標楷體" w:cs="Gungsuh" w:hint="eastAsia"/>
          <w:color w:val="000000" w:themeColor="text1"/>
          <w:szCs w:val="24"/>
        </w:rPr>
        <w:t>藉由分析過往文獻以及訪談資料，勾勒出台灣左右派的歷史背景，並分析其整體脈絡，以探討於七零年代時期借保釣運動而方興未艾台灣左右派之爭何以消亡</w:t>
      </w:r>
      <w:r w:rsidR="00225292">
        <w:rPr>
          <w:rFonts w:ascii="標楷體" w:eastAsia="標楷體" w:hAnsi="標楷體" w:cs="Gungsuh" w:hint="eastAsia"/>
          <w:color w:val="000000" w:themeColor="text1"/>
          <w:szCs w:val="24"/>
        </w:rPr>
        <w:t>，轉向統獨意識形態之爭</w:t>
      </w:r>
      <w:r w:rsidR="0084748A">
        <w:rPr>
          <w:rFonts w:ascii="標楷體" w:eastAsia="標楷體" w:hAnsi="標楷體" w:cs="Gungsuh" w:hint="eastAsia"/>
          <w:color w:val="000000" w:themeColor="text1"/>
          <w:szCs w:val="24"/>
        </w:rPr>
        <w:t>。</w:t>
      </w:r>
      <w:r w:rsidR="00225292">
        <w:rPr>
          <w:rFonts w:ascii="標楷體" w:eastAsia="標楷體" w:hAnsi="標楷體" w:cs="Gungsuh" w:hint="eastAsia"/>
          <w:color w:val="000000" w:themeColor="text1"/>
          <w:szCs w:val="24"/>
        </w:rPr>
        <w:t>更進一步探究台灣人民的集體記憶，對左右派出現的極化現象</w:t>
      </w:r>
      <w:r w:rsidR="00902AEF">
        <w:rPr>
          <w:rFonts w:ascii="標楷體" w:eastAsia="標楷體" w:hAnsi="標楷體" w:cs="Gungsuh" w:hint="eastAsia"/>
          <w:color w:val="000000" w:themeColor="text1"/>
          <w:szCs w:val="24"/>
        </w:rPr>
        <w:t>之因</w:t>
      </w:r>
      <w:r w:rsidR="00225292">
        <w:rPr>
          <w:rFonts w:ascii="標楷體" w:eastAsia="標楷體" w:hAnsi="標楷體" w:cs="Gungsuh" w:hint="eastAsia"/>
          <w:color w:val="000000" w:themeColor="text1"/>
          <w:szCs w:val="24"/>
        </w:rPr>
        <w:t>，以及在統獨意識形態之爭下，如何導致左派的社會認同在台灣社會出現失語的現象。</w:t>
      </w:r>
    </w:p>
    <w:p w14:paraId="3FCBC255" w14:textId="3E8EBFB0" w:rsidR="006B2D1A" w:rsidRDefault="006B2D1A" w:rsidP="00544AF4">
      <w:pPr>
        <w:rPr>
          <w:rFonts w:ascii="Times New Roman" w:eastAsia="標楷體" w:hAnsi="Times New Roman" w:cs="Times New Roman"/>
          <w:color w:val="000000" w:themeColor="text1"/>
          <w:szCs w:val="24"/>
        </w:rPr>
      </w:pPr>
      <w:r>
        <w:rPr>
          <w:rFonts w:ascii="標楷體" w:eastAsia="標楷體" w:hAnsi="標楷體" w:cs="Gungsuh" w:hint="eastAsia"/>
          <w:color w:val="000000" w:themeColor="text1"/>
          <w:szCs w:val="24"/>
        </w:rPr>
        <w:t xml:space="preserve">  </w:t>
      </w:r>
      <w:r w:rsidR="005750BC">
        <w:rPr>
          <w:rFonts w:ascii="標楷體" w:eastAsia="標楷體" w:hAnsi="標楷體" w:cs="Gungsuh" w:hint="eastAsia"/>
          <w:color w:val="000000" w:themeColor="text1"/>
          <w:szCs w:val="24"/>
        </w:rPr>
        <w:t>筆者</w:t>
      </w:r>
      <w:r w:rsidR="000731FD">
        <w:rPr>
          <w:rFonts w:ascii="標楷體" w:eastAsia="標楷體" w:hAnsi="標楷體" w:cs="Gungsuh" w:hint="eastAsia"/>
          <w:color w:val="000000" w:themeColor="text1"/>
          <w:szCs w:val="24"/>
        </w:rPr>
        <w:t>企圖先介紹《</w:t>
      </w:r>
      <w:r w:rsidR="000731FD" w:rsidRPr="000731FD">
        <w:rPr>
          <w:rFonts w:ascii="標楷體" w:eastAsia="標楷體" w:hAnsi="標楷體" w:cs="Gungsuh" w:hint="eastAsia"/>
          <w:color w:val="000000" w:themeColor="text1"/>
          <w:szCs w:val="24"/>
        </w:rPr>
        <w:t>三代臺灣人：百年追求的現實與理想</w:t>
      </w:r>
      <w:r w:rsidR="000731FD">
        <w:rPr>
          <w:rFonts w:ascii="標楷體" w:eastAsia="標楷體" w:hAnsi="標楷體" w:cs="Gungsuh" w:hint="eastAsia"/>
          <w:color w:val="000000" w:themeColor="text1"/>
          <w:szCs w:val="24"/>
        </w:rPr>
        <w:t>》中，日治時期下蔚為台灣本土社會主流之台灣左派；而後</w:t>
      </w:r>
      <w:r w:rsidR="005750BC">
        <w:rPr>
          <w:rFonts w:ascii="標楷體" w:eastAsia="標楷體" w:hAnsi="標楷體" w:cs="Gungsuh" w:hint="eastAsia"/>
          <w:color w:val="000000" w:themeColor="text1"/>
          <w:szCs w:val="24"/>
        </w:rPr>
        <w:t>透過分析《</w:t>
      </w:r>
      <w:r w:rsidR="005750BC" w:rsidRPr="005750BC">
        <w:rPr>
          <w:rFonts w:ascii="標楷體" w:eastAsia="標楷體" w:hAnsi="標楷體" w:cs="Gungsuh" w:hint="eastAsia"/>
          <w:color w:val="000000" w:themeColor="text1"/>
          <w:szCs w:val="24"/>
        </w:rPr>
        <w:t>族群、民族與現代國家：經驗與理論的反思</w:t>
      </w:r>
      <w:r w:rsidR="005750BC">
        <w:rPr>
          <w:rFonts w:ascii="標楷體" w:eastAsia="標楷體" w:hAnsi="標楷體" w:cs="Gungsuh" w:hint="eastAsia"/>
          <w:color w:val="000000" w:themeColor="text1"/>
          <w:szCs w:val="24"/>
        </w:rPr>
        <w:t>》及《</w:t>
      </w:r>
      <w:r w:rsidR="005750BC" w:rsidRPr="005750BC">
        <w:rPr>
          <w:rFonts w:ascii="標楷體" w:eastAsia="標楷體" w:hAnsi="標楷體" w:cs="Gungsuh" w:hint="eastAsia"/>
          <w:color w:val="000000" w:themeColor="text1"/>
          <w:szCs w:val="24"/>
        </w:rPr>
        <w:t>重構台灣：當代民族主義的文化政治</w:t>
      </w:r>
      <w:r w:rsidR="005750BC">
        <w:rPr>
          <w:rFonts w:ascii="標楷體" w:eastAsia="標楷體" w:hAnsi="標楷體" w:cs="Gungsuh" w:hint="eastAsia"/>
          <w:color w:val="000000" w:themeColor="text1"/>
          <w:szCs w:val="24"/>
        </w:rPr>
        <w:t>》二書，以歷史的脈絡剖析台灣各個時代集體意識型態的轉變；</w:t>
      </w:r>
      <w:r w:rsidR="004C4166">
        <w:rPr>
          <w:rFonts w:ascii="標楷體" w:eastAsia="標楷體" w:hAnsi="標楷體" w:cs="Gungsuh" w:hint="eastAsia"/>
          <w:color w:val="000000" w:themeColor="text1"/>
          <w:szCs w:val="24"/>
        </w:rPr>
        <w:t>進而透過《</w:t>
      </w:r>
      <w:r w:rsidR="004C4166" w:rsidRPr="004C4166">
        <w:rPr>
          <w:rFonts w:ascii="標楷體" w:eastAsia="標楷體" w:hAnsi="標楷體" w:cs="Gungsuh" w:hint="eastAsia"/>
          <w:color w:val="000000" w:themeColor="text1"/>
          <w:szCs w:val="24"/>
        </w:rPr>
        <w:t>保釣運動全紀錄</w:t>
      </w:r>
      <w:r w:rsidR="004C4166">
        <w:rPr>
          <w:rFonts w:ascii="標楷體" w:eastAsia="標楷體" w:hAnsi="標楷體" w:cs="Gungsuh" w:hint="eastAsia"/>
          <w:color w:val="000000" w:themeColor="text1"/>
          <w:szCs w:val="24"/>
        </w:rPr>
        <w:t>》、</w:t>
      </w:r>
      <w:r w:rsidR="004C4166" w:rsidRPr="004C4166">
        <w:rPr>
          <w:rFonts w:ascii="標楷體" w:eastAsia="標楷體" w:hAnsi="標楷體" w:cs="Gungsuh" w:hint="eastAsia"/>
          <w:color w:val="000000" w:themeColor="text1"/>
          <w:szCs w:val="24"/>
        </w:rPr>
        <w:t>《保釣風雲半世紀：保釣運動領軍人士的轉折人生與歷史展望</w:t>
      </w:r>
      <w:r w:rsidR="004C4166">
        <w:rPr>
          <w:rFonts w:ascii="標楷體" w:eastAsia="標楷體" w:hAnsi="標楷體" w:cs="Gungsuh" w:hint="eastAsia"/>
          <w:color w:val="000000" w:themeColor="text1"/>
          <w:szCs w:val="24"/>
        </w:rPr>
        <w:t>》二書，刻畫</w:t>
      </w:r>
      <w:r w:rsidR="004C4166" w:rsidRPr="004C4166">
        <w:rPr>
          <w:rFonts w:ascii="Times New Roman" w:eastAsia="標楷體" w:hAnsi="Times New Roman" w:cs="Times New Roman"/>
          <w:color w:val="000000" w:themeColor="text1"/>
          <w:szCs w:val="24"/>
        </w:rPr>
        <w:t>1970</w:t>
      </w:r>
      <w:r w:rsidR="004C4166">
        <w:rPr>
          <w:rFonts w:ascii="標楷體" w:eastAsia="標楷體" w:hAnsi="標楷體" w:cs="Gungsuh" w:hint="eastAsia"/>
          <w:color w:val="000000" w:themeColor="text1"/>
          <w:szCs w:val="24"/>
        </w:rPr>
        <w:t>年代藉著保釣運動而崛起的台灣左右派</w:t>
      </w:r>
      <w:r w:rsidR="00544AF4">
        <w:rPr>
          <w:rFonts w:ascii="標楷體" w:eastAsia="標楷體" w:hAnsi="標楷體" w:cs="Gungsuh" w:hint="eastAsia"/>
          <w:color w:val="000000" w:themeColor="text1"/>
          <w:szCs w:val="24"/>
        </w:rPr>
        <w:t>；最後藉由《</w:t>
      </w:r>
      <w:r w:rsidR="00544AF4" w:rsidRPr="00544AF4">
        <w:rPr>
          <w:rFonts w:ascii="標楷體" w:eastAsia="標楷體" w:hAnsi="標楷體" w:cs="Gungsuh" w:hint="eastAsia"/>
          <w:color w:val="000000" w:themeColor="text1"/>
          <w:szCs w:val="24"/>
        </w:rPr>
        <w:t>回歸現實：台灣</w:t>
      </w:r>
      <w:r w:rsidR="00544AF4" w:rsidRPr="00544AF4">
        <w:rPr>
          <w:rFonts w:ascii="Times New Roman" w:eastAsia="標楷體" w:hAnsi="Times New Roman" w:cs="Times New Roman"/>
          <w:color w:val="000000" w:themeColor="text1"/>
          <w:szCs w:val="24"/>
        </w:rPr>
        <w:t>1970</w:t>
      </w:r>
      <w:r w:rsidR="00544AF4" w:rsidRPr="00544AF4">
        <w:rPr>
          <w:rFonts w:ascii="標楷體" w:eastAsia="標楷體" w:hAnsi="標楷體" w:cs="Gungsuh" w:hint="eastAsia"/>
          <w:color w:val="000000" w:themeColor="text1"/>
          <w:szCs w:val="24"/>
        </w:rPr>
        <w:t>年代的戰後世代與文化政治變遷(二版)</w:t>
      </w:r>
      <w:r w:rsidR="00544AF4">
        <w:rPr>
          <w:rFonts w:ascii="標楷體" w:eastAsia="標楷體" w:hAnsi="標楷體" w:cs="Gungsuh" w:hint="eastAsia"/>
          <w:color w:val="000000" w:themeColor="text1"/>
          <w:szCs w:val="24"/>
        </w:rPr>
        <w:t>》一書，探究隨著</w:t>
      </w:r>
      <w:r w:rsidR="00544AF4" w:rsidRPr="00544AF4">
        <w:rPr>
          <w:rFonts w:ascii="Times New Roman" w:eastAsia="標楷體" w:hAnsi="Times New Roman" w:cs="Times New Roman"/>
          <w:color w:val="000000" w:themeColor="text1"/>
          <w:szCs w:val="24"/>
        </w:rPr>
        <w:t>80</w:t>
      </w:r>
      <w:r w:rsidR="00544AF4">
        <w:rPr>
          <w:rFonts w:ascii="Times New Roman" w:eastAsia="標楷體" w:hAnsi="Times New Roman" w:cs="Times New Roman" w:hint="eastAsia"/>
          <w:color w:val="000000" w:themeColor="text1"/>
          <w:szCs w:val="24"/>
        </w:rPr>
        <w:t>年代文化與政治本土化後，左右派意識形態衰微，而以統獨意識形態極化為政治競野之成因。</w:t>
      </w:r>
    </w:p>
    <w:p w14:paraId="49D833EB" w14:textId="17AE171A" w:rsidR="000731FD" w:rsidRDefault="000731FD" w:rsidP="00544AF4">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筆者也企圖透過訪談的部分，觀測自</w:t>
      </w:r>
      <w:r>
        <w:rPr>
          <w:rFonts w:ascii="Times New Roman" w:eastAsia="標楷體" w:hAnsi="Times New Roman" w:cs="Times New Roman" w:hint="eastAsia"/>
          <w:color w:val="000000" w:themeColor="text1"/>
          <w:szCs w:val="24"/>
        </w:rPr>
        <w:t>1980</w:t>
      </w:r>
      <w:r>
        <w:rPr>
          <w:rFonts w:ascii="Times New Roman" w:eastAsia="標楷體" w:hAnsi="Times New Roman" w:cs="Times New Roman" w:hint="eastAsia"/>
          <w:color w:val="000000" w:themeColor="text1"/>
          <w:szCs w:val="24"/>
        </w:rPr>
        <w:t>年以降，政治及文化本土化所導致的左右派意識形態衰微之現象，以及隨著集體認同的轉變下，統獨意識形態的</w:t>
      </w:r>
      <w:r>
        <w:rPr>
          <w:rFonts w:ascii="Times New Roman" w:eastAsia="標楷體" w:hAnsi="Times New Roman" w:cs="Times New Roman" w:hint="eastAsia"/>
          <w:color w:val="000000" w:themeColor="text1"/>
          <w:szCs w:val="24"/>
        </w:rPr>
        <w:lastRenderedPageBreak/>
        <w:t>二元極化，與台灣主流政黨出現右傾現象的原因。希冀於透過分析主流政黨的右傾現象，形塑左派族群認同失語之因，以希冀能替於台灣社會下偏弱勢的左翼族群獲取社會之認同。</w:t>
      </w:r>
    </w:p>
    <w:p w14:paraId="47C69369" w14:textId="77777777" w:rsidR="0052688F" w:rsidRPr="000731FD" w:rsidRDefault="0052688F" w:rsidP="00544AF4">
      <w:pPr>
        <w:rPr>
          <w:rFonts w:ascii="標楷體" w:eastAsia="標楷體" w:hAnsi="標楷體" w:cs="Gungsuh"/>
          <w:color w:val="000000" w:themeColor="text1"/>
          <w:szCs w:val="24"/>
        </w:rPr>
      </w:pPr>
    </w:p>
    <w:p w14:paraId="7FEDD10A" w14:textId="09977878" w:rsidR="00C60F52" w:rsidRDefault="00C60F52" w:rsidP="00C60F52">
      <w:pPr>
        <w:pStyle w:val="a3"/>
        <w:numPr>
          <w:ilvl w:val="0"/>
          <w:numId w:val="1"/>
        </w:numPr>
        <w:ind w:leftChars="0"/>
        <w:rPr>
          <w:rFonts w:ascii="標楷體" w:eastAsia="標楷體" w:hAnsi="標楷體" w:cs="Gungsuh"/>
          <w:color w:val="000000" w:themeColor="text1"/>
          <w:szCs w:val="24"/>
        </w:rPr>
      </w:pPr>
      <w:r w:rsidRPr="00C60F52">
        <w:rPr>
          <w:rFonts w:ascii="標楷體" w:eastAsia="標楷體" w:hAnsi="標楷體" w:cs="Gungsuh" w:hint="eastAsia"/>
          <w:color w:val="000000" w:themeColor="text1"/>
          <w:szCs w:val="24"/>
        </w:rPr>
        <w:t>預計時間及地點</w:t>
      </w:r>
    </w:p>
    <w:p w14:paraId="695BBA22" w14:textId="0622258A" w:rsidR="00C60F52" w:rsidRDefault="0006590D" w:rsidP="00C60F52">
      <w:pPr>
        <w:rPr>
          <w:rFonts w:ascii="Times New Roman" w:eastAsia="標楷體" w:hAnsi="Times New Roman" w:cs="Times New Roman"/>
          <w:color w:val="000000" w:themeColor="text1"/>
          <w:szCs w:val="24"/>
        </w:rPr>
      </w:pPr>
      <w:r>
        <w:rPr>
          <w:rFonts w:ascii="標楷體" w:eastAsia="標楷體" w:hAnsi="標楷體" w:cs="Gungsuh" w:hint="eastAsia"/>
          <w:color w:val="000000" w:themeColor="text1"/>
          <w:szCs w:val="24"/>
        </w:rPr>
        <w:t xml:space="preserve">  </w:t>
      </w:r>
      <w:r w:rsidR="00C60F52" w:rsidRPr="0006590D">
        <w:rPr>
          <w:rFonts w:ascii="標楷體" w:eastAsia="標楷體" w:hAnsi="標楷體" w:cs="Gungsuh" w:hint="eastAsia"/>
          <w:color w:val="000000" w:themeColor="text1"/>
          <w:szCs w:val="24"/>
        </w:rPr>
        <w:t>本研究</w:t>
      </w:r>
      <w:r w:rsidR="000731FD">
        <w:rPr>
          <w:rFonts w:ascii="標楷體" w:eastAsia="標楷體" w:hAnsi="標楷體" w:cs="Gungsuh" w:hint="eastAsia"/>
          <w:color w:val="000000" w:themeColor="text1"/>
          <w:szCs w:val="24"/>
        </w:rPr>
        <w:t>預計於</w:t>
      </w:r>
      <w:r w:rsidR="000731FD" w:rsidRPr="000731FD">
        <w:rPr>
          <w:rFonts w:ascii="Times New Roman" w:eastAsia="標楷體" w:hAnsi="Times New Roman" w:cs="Times New Roman"/>
          <w:color w:val="000000" w:themeColor="text1"/>
          <w:szCs w:val="24"/>
        </w:rPr>
        <w:t>2023</w:t>
      </w:r>
      <w:r w:rsidR="0052688F">
        <w:rPr>
          <w:rFonts w:ascii="Times New Roman" w:eastAsia="標楷體" w:hAnsi="Times New Roman" w:cs="Times New Roman" w:hint="eastAsia"/>
          <w:color w:val="000000" w:themeColor="text1"/>
          <w:szCs w:val="24"/>
        </w:rPr>
        <w:t>的</w:t>
      </w:r>
      <w:r w:rsidR="0052688F">
        <w:rPr>
          <w:rFonts w:ascii="Times New Roman" w:eastAsia="標楷體" w:hAnsi="Times New Roman" w:cs="Times New Roman" w:hint="eastAsia"/>
          <w:color w:val="000000" w:themeColor="text1"/>
          <w:szCs w:val="24"/>
        </w:rPr>
        <w:t>7</w:t>
      </w:r>
      <w:r w:rsidR="0052688F">
        <w:rPr>
          <w:rFonts w:ascii="Times New Roman" w:eastAsia="標楷體" w:hAnsi="Times New Roman" w:cs="Times New Roman" w:hint="eastAsia"/>
          <w:color w:val="000000" w:themeColor="text1"/>
          <w:szCs w:val="24"/>
        </w:rPr>
        <w:t>月至</w:t>
      </w:r>
      <w:r w:rsidR="0052688F">
        <w:rPr>
          <w:rFonts w:ascii="Times New Roman" w:eastAsia="標楷體" w:hAnsi="Times New Roman" w:cs="Times New Roman" w:hint="eastAsia"/>
          <w:color w:val="000000" w:themeColor="text1"/>
          <w:szCs w:val="24"/>
        </w:rPr>
        <w:t>8</w:t>
      </w:r>
      <w:r w:rsidR="0052688F">
        <w:rPr>
          <w:rFonts w:ascii="Times New Roman" w:eastAsia="標楷體" w:hAnsi="Times New Roman" w:cs="Times New Roman" w:hint="eastAsia"/>
          <w:color w:val="000000" w:themeColor="text1"/>
          <w:szCs w:val="24"/>
        </w:rPr>
        <w:t>月間進行文獻回顧及訪談，而於</w:t>
      </w:r>
      <w:r w:rsidR="0052688F">
        <w:rPr>
          <w:rFonts w:ascii="Times New Roman" w:eastAsia="標楷體" w:hAnsi="Times New Roman" w:cs="Times New Roman" w:hint="eastAsia"/>
          <w:color w:val="000000" w:themeColor="text1"/>
          <w:szCs w:val="24"/>
        </w:rPr>
        <w:t>9</w:t>
      </w:r>
      <w:r w:rsidR="0052688F">
        <w:rPr>
          <w:rFonts w:ascii="Times New Roman" w:eastAsia="標楷體" w:hAnsi="Times New Roman" w:cs="Times New Roman" w:hint="eastAsia"/>
          <w:color w:val="000000" w:themeColor="text1"/>
          <w:szCs w:val="24"/>
        </w:rPr>
        <w:t>月期間將本次社會實踐撰文完畢。</w:t>
      </w:r>
    </w:p>
    <w:p w14:paraId="0D45EB47" w14:textId="77777777" w:rsidR="0052688F" w:rsidRPr="000731FD" w:rsidRDefault="0052688F" w:rsidP="00C60F52">
      <w:pPr>
        <w:rPr>
          <w:rFonts w:ascii="標楷體" w:eastAsia="標楷體" w:hAnsi="標楷體" w:cs="Gungsuh"/>
          <w:color w:val="000000" w:themeColor="text1"/>
          <w:szCs w:val="24"/>
        </w:rPr>
      </w:pPr>
    </w:p>
    <w:p w14:paraId="70A90306" w14:textId="48CA4D16" w:rsidR="00C60F52" w:rsidRDefault="00C60F52" w:rsidP="00C60F52">
      <w:pPr>
        <w:pStyle w:val="a3"/>
        <w:numPr>
          <w:ilvl w:val="0"/>
          <w:numId w:val="1"/>
        </w:numPr>
        <w:ind w:leftChars="0"/>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預計收穫</w:t>
      </w:r>
    </w:p>
    <w:p w14:paraId="1DD64CEA" w14:textId="1FB726ED" w:rsidR="00C60F52" w:rsidRDefault="008D220E" w:rsidP="00C60F52">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 xml:space="preserve">  </w:t>
      </w:r>
      <w:r w:rsidR="00C60F52" w:rsidRPr="008D220E">
        <w:rPr>
          <w:rFonts w:ascii="標楷體" w:eastAsia="標楷體" w:hAnsi="標楷體" w:cs="Gungsuh" w:hint="eastAsia"/>
          <w:color w:val="000000" w:themeColor="text1"/>
          <w:szCs w:val="24"/>
        </w:rPr>
        <w:t>此次的社會實踐，相較於過往研究旨在觀測台灣社會以統獨議題取代左右意識形態的現象</w:t>
      </w:r>
      <w:r w:rsidR="0006590D">
        <w:rPr>
          <w:rFonts w:ascii="標楷體" w:eastAsia="標楷體" w:hAnsi="標楷體" w:cs="Gungsuh" w:hint="eastAsia"/>
          <w:color w:val="000000" w:themeColor="text1"/>
          <w:szCs w:val="24"/>
        </w:rPr>
        <w:t>，更著重於左右派意識形態消亡下的集體記憶，何以出現居右的極化現象。並期許能透過此次研究，</w:t>
      </w:r>
      <w:r w:rsidR="0006590D" w:rsidRPr="0006590D">
        <w:rPr>
          <w:rFonts w:ascii="標楷體" w:eastAsia="標楷體" w:hAnsi="標楷體" w:cs="Gungsuh" w:hint="eastAsia"/>
          <w:color w:val="000000" w:themeColor="text1"/>
          <w:szCs w:val="24"/>
        </w:rPr>
        <w:t>使居左的聲音破除固有的負面框架之餘，更使台灣社會突破統獨意識型態下的侍從主義，使在台灣社會下較為聲量較為薄弱的左派</w:t>
      </w:r>
      <w:r w:rsidR="0052688F">
        <w:rPr>
          <w:rFonts w:ascii="標楷體" w:eastAsia="標楷體" w:hAnsi="標楷體" w:cs="Gungsuh" w:hint="eastAsia"/>
          <w:color w:val="000000" w:themeColor="text1"/>
          <w:szCs w:val="24"/>
        </w:rPr>
        <w:t>能博取更多發聲的社會音量</w:t>
      </w:r>
      <w:r w:rsidR="0006590D" w:rsidRPr="0006590D">
        <w:rPr>
          <w:rFonts w:ascii="標楷體" w:eastAsia="標楷體" w:hAnsi="標楷體" w:cs="Gungsuh" w:hint="eastAsia"/>
          <w:color w:val="000000" w:themeColor="text1"/>
          <w:szCs w:val="24"/>
        </w:rPr>
        <w:t>。</w:t>
      </w:r>
    </w:p>
    <w:p w14:paraId="5819FF13" w14:textId="77777777" w:rsidR="0052688F" w:rsidRPr="008D220E" w:rsidRDefault="0052688F" w:rsidP="00C60F52">
      <w:pPr>
        <w:rPr>
          <w:rFonts w:ascii="標楷體" w:eastAsia="標楷體" w:hAnsi="標楷體" w:cs="Gungsuh"/>
          <w:color w:val="000000" w:themeColor="text1"/>
          <w:szCs w:val="24"/>
        </w:rPr>
      </w:pPr>
    </w:p>
    <w:p w14:paraId="46AF35A7" w14:textId="6AD8FE56" w:rsidR="00C60F52" w:rsidRDefault="00C60F52" w:rsidP="00C60F52">
      <w:pPr>
        <w:pStyle w:val="a3"/>
        <w:numPr>
          <w:ilvl w:val="0"/>
          <w:numId w:val="1"/>
        </w:numPr>
        <w:ind w:leftChars="0"/>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預計預算</w:t>
      </w:r>
    </w:p>
    <w:p w14:paraId="21F7DC0B" w14:textId="77777777" w:rsidR="00BA3389" w:rsidRPr="00371F9B" w:rsidRDefault="00371F9B" w:rsidP="00371F9B">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 xml:space="preserve">  本次社會預算主要可分為兩部分。其一是購置文獻回顧所需的書籍，價格茲整理如下表:</w:t>
      </w:r>
    </w:p>
    <w:tbl>
      <w:tblPr>
        <w:tblStyle w:val="a8"/>
        <w:tblW w:w="8384" w:type="dxa"/>
        <w:tblLook w:val="04A0" w:firstRow="1" w:lastRow="0" w:firstColumn="1" w:lastColumn="0" w:noHBand="0" w:noVBand="1"/>
      </w:tblPr>
      <w:tblGrid>
        <w:gridCol w:w="4815"/>
        <w:gridCol w:w="1276"/>
        <w:gridCol w:w="2293"/>
      </w:tblGrid>
      <w:tr w:rsidR="00BA3389" w14:paraId="0144DE8A" w14:textId="77777777" w:rsidTr="00BA3389">
        <w:tc>
          <w:tcPr>
            <w:tcW w:w="4815" w:type="dxa"/>
          </w:tcPr>
          <w:p w14:paraId="1399CFAB" w14:textId="7DE27015" w:rsidR="00BA3389" w:rsidRDefault="00BA3389" w:rsidP="00371F9B">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書籍列表</w:t>
            </w:r>
          </w:p>
        </w:tc>
        <w:tc>
          <w:tcPr>
            <w:tcW w:w="1276" w:type="dxa"/>
          </w:tcPr>
          <w:p w14:paraId="0EC08A59" w14:textId="0BD7E0D6" w:rsidR="00BA3389" w:rsidRDefault="00BA3389" w:rsidP="00371F9B">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價格</w:t>
            </w:r>
          </w:p>
        </w:tc>
        <w:tc>
          <w:tcPr>
            <w:tcW w:w="2293" w:type="dxa"/>
          </w:tcPr>
          <w:p w14:paraId="0B8826CB" w14:textId="284C7D81" w:rsidR="00BA3389" w:rsidRDefault="00BA3389" w:rsidP="00371F9B">
            <w:pPr>
              <w:rPr>
                <w:rFonts w:ascii="標楷體" w:eastAsia="標楷體" w:hAnsi="標楷體" w:cs="Gungsuh"/>
                <w:color w:val="000000" w:themeColor="text1"/>
                <w:szCs w:val="24"/>
              </w:rPr>
            </w:pPr>
            <w:r>
              <w:rPr>
                <w:rFonts w:ascii="標楷體" w:eastAsia="標楷體" w:hAnsi="標楷體" w:cs="Gungsuh" w:hint="eastAsia"/>
                <w:color w:val="000000" w:themeColor="text1"/>
                <w:szCs w:val="24"/>
              </w:rPr>
              <w:t>共計</w:t>
            </w:r>
          </w:p>
        </w:tc>
      </w:tr>
      <w:tr w:rsidR="00BA3389" w14:paraId="6F3ED11F" w14:textId="77777777" w:rsidTr="00BA3389">
        <w:tc>
          <w:tcPr>
            <w:tcW w:w="4815" w:type="dxa"/>
          </w:tcPr>
          <w:p w14:paraId="4A1A0EBA" w14:textId="6AA3B5DA" w:rsidR="00BA3389" w:rsidRDefault="00BA3389" w:rsidP="00371F9B">
            <w:pPr>
              <w:rPr>
                <w:rFonts w:ascii="標楷體" w:eastAsia="標楷體" w:hAnsi="標楷體" w:cs="Gungsuh"/>
                <w:color w:val="000000" w:themeColor="text1"/>
                <w:szCs w:val="24"/>
              </w:rPr>
            </w:pPr>
            <w:r w:rsidRPr="000731FD">
              <w:rPr>
                <w:rFonts w:ascii="標楷體" w:eastAsia="標楷體" w:hAnsi="標楷體" w:cs="Gungsuh" w:hint="eastAsia"/>
                <w:color w:val="000000" w:themeColor="text1"/>
                <w:szCs w:val="24"/>
              </w:rPr>
              <w:t>三代臺灣人：百年追求的現實與理想</w:t>
            </w:r>
          </w:p>
        </w:tc>
        <w:tc>
          <w:tcPr>
            <w:tcW w:w="1276" w:type="dxa"/>
          </w:tcPr>
          <w:p w14:paraId="64B3D10F" w14:textId="0954D418"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458</w:t>
            </w:r>
          </w:p>
        </w:tc>
        <w:tc>
          <w:tcPr>
            <w:tcW w:w="2293" w:type="dxa"/>
          </w:tcPr>
          <w:p w14:paraId="6168096F" w14:textId="77777777" w:rsidR="00BA3389" w:rsidRDefault="00BA3389" w:rsidP="00371F9B">
            <w:pPr>
              <w:rPr>
                <w:rFonts w:ascii="標楷體" w:eastAsia="標楷體" w:hAnsi="標楷體" w:cs="Gungsuh"/>
                <w:color w:val="000000" w:themeColor="text1"/>
                <w:szCs w:val="24"/>
              </w:rPr>
            </w:pPr>
          </w:p>
        </w:tc>
      </w:tr>
      <w:tr w:rsidR="00BA3389" w14:paraId="4EA18379" w14:textId="77777777" w:rsidTr="00BA3389">
        <w:tc>
          <w:tcPr>
            <w:tcW w:w="4815" w:type="dxa"/>
          </w:tcPr>
          <w:p w14:paraId="57E97E62" w14:textId="66C6112C" w:rsidR="00BA3389" w:rsidRDefault="00BA3389" w:rsidP="00371F9B">
            <w:pPr>
              <w:rPr>
                <w:rFonts w:ascii="標楷體" w:eastAsia="標楷體" w:hAnsi="標楷體" w:cs="Gungsuh"/>
                <w:color w:val="000000" w:themeColor="text1"/>
                <w:szCs w:val="24"/>
              </w:rPr>
            </w:pPr>
            <w:r w:rsidRPr="005750BC">
              <w:rPr>
                <w:rFonts w:ascii="標楷體" w:eastAsia="標楷體" w:hAnsi="標楷體" w:cs="Gungsuh" w:hint="eastAsia"/>
                <w:color w:val="000000" w:themeColor="text1"/>
                <w:szCs w:val="24"/>
              </w:rPr>
              <w:t>族群、民族與現代國家：經驗與理論的反思</w:t>
            </w:r>
          </w:p>
        </w:tc>
        <w:tc>
          <w:tcPr>
            <w:tcW w:w="1276" w:type="dxa"/>
          </w:tcPr>
          <w:p w14:paraId="33A253A3" w14:textId="05A239ED"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380</w:t>
            </w:r>
          </w:p>
        </w:tc>
        <w:tc>
          <w:tcPr>
            <w:tcW w:w="2293" w:type="dxa"/>
          </w:tcPr>
          <w:p w14:paraId="756F6C7A" w14:textId="77777777" w:rsidR="00BA3389" w:rsidRDefault="00BA3389" w:rsidP="00371F9B">
            <w:pPr>
              <w:rPr>
                <w:rFonts w:ascii="標楷體" w:eastAsia="標楷體" w:hAnsi="標楷體" w:cs="Gungsuh"/>
                <w:color w:val="000000" w:themeColor="text1"/>
                <w:szCs w:val="24"/>
              </w:rPr>
            </w:pPr>
          </w:p>
        </w:tc>
      </w:tr>
      <w:tr w:rsidR="00BA3389" w14:paraId="58C3F322" w14:textId="77777777" w:rsidTr="00BA3389">
        <w:tc>
          <w:tcPr>
            <w:tcW w:w="4815" w:type="dxa"/>
          </w:tcPr>
          <w:p w14:paraId="253D9C3D" w14:textId="4E437E34" w:rsidR="00BA3389" w:rsidRDefault="00BA3389" w:rsidP="00371F9B">
            <w:pPr>
              <w:rPr>
                <w:rFonts w:ascii="標楷體" w:eastAsia="標楷體" w:hAnsi="標楷體" w:cs="Gungsuh"/>
                <w:color w:val="000000" w:themeColor="text1"/>
                <w:szCs w:val="24"/>
              </w:rPr>
            </w:pPr>
            <w:r w:rsidRPr="005750BC">
              <w:rPr>
                <w:rFonts w:ascii="標楷體" w:eastAsia="標楷體" w:hAnsi="標楷體" w:cs="Gungsuh" w:hint="eastAsia"/>
                <w:color w:val="000000" w:themeColor="text1"/>
                <w:szCs w:val="24"/>
              </w:rPr>
              <w:t>重構台灣：當代民族主義的文化政治</w:t>
            </w:r>
          </w:p>
        </w:tc>
        <w:tc>
          <w:tcPr>
            <w:tcW w:w="1276" w:type="dxa"/>
          </w:tcPr>
          <w:p w14:paraId="479F9D7C" w14:textId="68D577ED"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300</w:t>
            </w:r>
          </w:p>
        </w:tc>
        <w:tc>
          <w:tcPr>
            <w:tcW w:w="2293" w:type="dxa"/>
          </w:tcPr>
          <w:p w14:paraId="51698945" w14:textId="77777777" w:rsidR="00BA3389" w:rsidRDefault="00BA3389" w:rsidP="00371F9B">
            <w:pPr>
              <w:rPr>
                <w:rFonts w:ascii="標楷體" w:eastAsia="標楷體" w:hAnsi="標楷體" w:cs="Gungsuh"/>
                <w:color w:val="000000" w:themeColor="text1"/>
                <w:szCs w:val="24"/>
              </w:rPr>
            </w:pPr>
          </w:p>
        </w:tc>
      </w:tr>
      <w:tr w:rsidR="00BA3389" w14:paraId="6C014873" w14:textId="77777777" w:rsidTr="00BA3389">
        <w:tc>
          <w:tcPr>
            <w:tcW w:w="4815" w:type="dxa"/>
          </w:tcPr>
          <w:p w14:paraId="70533BBC" w14:textId="61873ED2" w:rsidR="00BA3389" w:rsidRDefault="00BA3389" w:rsidP="00371F9B">
            <w:pPr>
              <w:rPr>
                <w:rFonts w:ascii="標楷體" w:eastAsia="標楷體" w:hAnsi="標楷體" w:cs="Gungsuh"/>
                <w:color w:val="000000" w:themeColor="text1"/>
                <w:szCs w:val="24"/>
              </w:rPr>
            </w:pPr>
            <w:r w:rsidRPr="004C4166">
              <w:rPr>
                <w:rFonts w:ascii="標楷體" w:eastAsia="標楷體" w:hAnsi="標楷體" w:cs="Gungsuh" w:hint="eastAsia"/>
                <w:color w:val="000000" w:themeColor="text1"/>
                <w:szCs w:val="24"/>
              </w:rPr>
              <w:t>保釣運動全紀錄</w:t>
            </w:r>
          </w:p>
        </w:tc>
        <w:tc>
          <w:tcPr>
            <w:tcW w:w="1276" w:type="dxa"/>
          </w:tcPr>
          <w:p w14:paraId="44279A13" w14:textId="6EE16F73"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400</w:t>
            </w:r>
          </w:p>
        </w:tc>
        <w:tc>
          <w:tcPr>
            <w:tcW w:w="2293" w:type="dxa"/>
          </w:tcPr>
          <w:p w14:paraId="3E4EB1A1" w14:textId="77777777" w:rsidR="00BA3389" w:rsidRDefault="00BA3389" w:rsidP="00371F9B">
            <w:pPr>
              <w:rPr>
                <w:rFonts w:ascii="標楷體" w:eastAsia="標楷體" w:hAnsi="標楷體" w:cs="Gungsuh"/>
                <w:color w:val="000000" w:themeColor="text1"/>
                <w:szCs w:val="24"/>
              </w:rPr>
            </w:pPr>
          </w:p>
        </w:tc>
      </w:tr>
      <w:tr w:rsidR="00BA3389" w14:paraId="17455EB4" w14:textId="77777777" w:rsidTr="00BA3389">
        <w:tc>
          <w:tcPr>
            <w:tcW w:w="4815" w:type="dxa"/>
          </w:tcPr>
          <w:p w14:paraId="08455140" w14:textId="2524755E" w:rsidR="00BA3389" w:rsidRDefault="00BA3389" w:rsidP="00371F9B">
            <w:pPr>
              <w:rPr>
                <w:rFonts w:ascii="標楷體" w:eastAsia="標楷體" w:hAnsi="標楷體" w:cs="Gungsuh"/>
                <w:color w:val="000000" w:themeColor="text1"/>
                <w:szCs w:val="24"/>
              </w:rPr>
            </w:pPr>
            <w:r w:rsidRPr="004C4166">
              <w:rPr>
                <w:rFonts w:ascii="標楷體" w:eastAsia="標楷體" w:hAnsi="標楷體" w:cs="Gungsuh" w:hint="eastAsia"/>
                <w:color w:val="000000" w:themeColor="text1"/>
                <w:szCs w:val="24"/>
              </w:rPr>
              <w:t>保釣風雲半世紀：保釣運動領軍人士的轉折人生與歷史展望</w:t>
            </w:r>
          </w:p>
        </w:tc>
        <w:tc>
          <w:tcPr>
            <w:tcW w:w="1276" w:type="dxa"/>
          </w:tcPr>
          <w:p w14:paraId="664AC643" w14:textId="477A474E"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474</w:t>
            </w:r>
          </w:p>
        </w:tc>
        <w:tc>
          <w:tcPr>
            <w:tcW w:w="2293" w:type="dxa"/>
          </w:tcPr>
          <w:p w14:paraId="5DA4D327" w14:textId="77777777" w:rsidR="00BA3389" w:rsidRDefault="00BA3389" w:rsidP="00371F9B">
            <w:pPr>
              <w:rPr>
                <w:rFonts w:ascii="標楷體" w:eastAsia="標楷體" w:hAnsi="標楷體" w:cs="Gungsuh"/>
                <w:color w:val="000000" w:themeColor="text1"/>
                <w:szCs w:val="24"/>
              </w:rPr>
            </w:pPr>
          </w:p>
        </w:tc>
      </w:tr>
      <w:tr w:rsidR="00BA3389" w14:paraId="4FC1B760" w14:textId="77777777" w:rsidTr="00BA3389">
        <w:tc>
          <w:tcPr>
            <w:tcW w:w="4815" w:type="dxa"/>
          </w:tcPr>
          <w:p w14:paraId="5B4EE991" w14:textId="2A79675B" w:rsidR="00BA3389" w:rsidRDefault="00BA3389" w:rsidP="00371F9B">
            <w:pPr>
              <w:rPr>
                <w:rFonts w:ascii="標楷體" w:eastAsia="標楷體" w:hAnsi="標楷體" w:cs="Gungsuh"/>
                <w:color w:val="000000" w:themeColor="text1"/>
                <w:szCs w:val="24"/>
              </w:rPr>
            </w:pPr>
            <w:r w:rsidRPr="00544AF4">
              <w:rPr>
                <w:rFonts w:ascii="標楷體" w:eastAsia="標楷體" w:hAnsi="標楷體" w:cs="Gungsuh" w:hint="eastAsia"/>
                <w:color w:val="000000" w:themeColor="text1"/>
                <w:szCs w:val="24"/>
              </w:rPr>
              <w:t>回歸現實：台灣</w:t>
            </w:r>
            <w:r w:rsidRPr="00544AF4">
              <w:rPr>
                <w:rFonts w:ascii="Times New Roman" w:eastAsia="標楷體" w:hAnsi="Times New Roman" w:cs="Times New Roman"/>
                <w:color w:val="000000" w:themeColor="text1"/>
                <w:szCs w:val="24"/>
              </w:rPr>
              <w:t>1970</w:t>
            </w:r>
            <w:r w:rsidRPr="00544AF4">
              <w:rPr>
                <w:rFonts w:ascii="標楷體" w:eastAsia="標楷體" w:hAnsi="標楷體" w:cs="Gungsuh" w:hint="eastAsia"/>
                <w:color w:val="000000" w:themeColor="text1"/>
                <w:szCs w:val="24"/>
              </w:rPr>
              <w:t>年代的戰後世代與文化政治變遷(二版)</w:t>
            </w:r>
          </w:p>
        </w:tc>
        <w:tc>
          <w:tcPr>
            <w:tcW w:w="1276" w:type="dxa"/>
          </w:tcPr>
          <w:p w14:paraId="7D635922" w14:textId="0A190313"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333</w:t>
            </w:r>
          </w:p>
        </w:tc>
        <w:tc>
          <w:tcPr>
            <w:tcW w:w="2293" w:type="dxa"/>
          </w:tcPr>
          <w:p w14:paraId="675F580C" w14:textId="7D4119EE" w:rsidR="00BA3389" w:rsidRPr="00BA3389" w:rsidRDefault="00BA3389" w:rsidP="00371F9B">
            <w:pPr>
              <w:rPr>
                <w:rFonts w:ascii="Times New Roman" w:eastAsia="標楷體" w:hAnsi="Times New Roman" w:cs="Times New Roman"/>
                <w:color w:val="000000" w:themeColor="text1"/>
                <w:szCs w:val="24"/>
              </w:rPr>
            </w:pPr>
            <w:r w:rsidRPr="00BA3389">
              <w:rPr>
                <w:rFonts w:ascii="Times New Roman" w:eastAsia="標楷體" w:hAnsi="Times New Roman" w:cs="Times New Roman"/>
                <w:color w:val="000000" w:themeColor="text1"/>
                <w:szCs w:val="24"/>
              </w:rPr>
              <w:t>2345</w:t>
            </w:r>
          </w:p>
        </w:tc>
      </w:tr>
    </w:tbl>
    <w:p w14:paraId="02079D6D" w14:textId="78885A29" w:rsidR="00371F9B" w:rsidRDefault="00371F9B" w:rsidP="00371F9B">
      <w:pPr>
        <w:rPr>
          <w:rFonts w:ascii="標楷體" w:eastAsia="標楷體" w:hAnsi="標楷體" w:cs="Gungsuh"/>
          <w:color w:val="000000" w:themeColor="text1"/>
          <w:szCs w:val="24"/>
        </w:rPr>
      </w:pPr>
    </w:p>
    <w:p w14:paraId="585DB2CD" w14:textId="3737B1B8" w:rsidR="00DA413C" w:rsidRDefault="00BA3389" w:rsidP="00EC1094">
      <w:pPr>
        <w:rPr>
          <w:rFonts w:ascii="標楷體" w:eastAsia="標楷體" w:hAnsi="標楷體" w:cs="Times New Roman"/>
          <w:color w:val="000000" w:themeColor="text1"/>
          <w:szCs w:val="24"/>
        </w:rPr>
      </w:pPr>
      <w:r>
        <w:rPr>
          <w:rFonts w:ascii="標楷體" w:eastAsia="標楷體" w:hAnsi="標楷體" w:cs="Gungsuh" w:hint="eastAsia"/>
          <w:color w:val="000000" w:themeColor="text1"/>
          <w:szCs w:val="24"/>
        </w:rPr>
        <w:t xml:space="preserve">  </w:t>
      </w:r>
      <w:r w:rsidRPr="00BA3389">
        <w:rPr>
          <w:rFonts w:ascii="標楷體" w:eastAsia="標楷體" w:hAnsi="標楷體" w:cs="Gungsuh" w:hint="eastAsia"/>
          <w:color w:val="000000" w:themeColor="text1"/>
          <w:szCs w:val="24"/>
        </w:rPr>
        <w:t>另外預計訪談</w:t>
      </w:r>
      <w:r w:rsidRPr="00BA3389">
        <w:rPr>
          <w:rFonts w:ascii="Times New Roman" w:eastAsia="標楷體" w:hAnsi="Times New Roman" w:cs="Times New Roman"/>
          <w:color w:val="000000" w:themeColor="text1"/>
          <w:szCs w:val="24"/>
        </w:rPr>
        <w:t>10</w:t>
      </w:r>
      <w:r w:rsidRPr="00BA3389">
        <w:rPr>
          <w:rFonts w:ascii="標楷體" w:eastAsia="標楷體" w:hAnsi="標楷體" w:cs="Times New Roman"/>
          <w:color w:val="000000" w:themeColor="text1"/>
          <w:szCs w:val="24"/>
        </w:rPr>
        <w:t>人</w:t>
      </w:r>
      <w:r>
        <w:rPr>
          <w:rFonts w:ascii="標楷體" w:eastAsia="標楷體" w:hAnsi="標楷體" w:cs="Times New Roman" w:hint="eastAsia"/>
          <w:color w:val="000000" w:themeColor="text1"/>
          <w:szCs w:val="24"/>
        </w:rPr>
        <w:t>，</w:t>
      </w:r>
      <w:r w:rsidR="00EC1094">
        <w:rPr>
          <w:rFonts w:ascii="標楷體" w:eastAsia="標楷體" w:hAnsi="標楷體" w:cs="Times New Roman" w:hint="eastAsia"/>
          <w:color w:val="000000" w:themeColor="text1"/>
          <w:szCs w:val="24"/>
        </w:rPr>
        <w:t>以透過訪談部分將</w:t>
      </w:r>
      <w:r w:rsidR="00EC1094" w:rsidRPr="00EC1094">
        <w:rPr>
          <w:rFonts w:ascii="Times New Roman" w:eastAsia="標楷體" w:hAnsi="Times New Roman" w:cs="Times New Roman"/>
          <w:color w:val="000000" w:themeColor="text1"/>
          <w:szCs w:val="24"/>
        </w:rPr>
        <w:t>1980</w:t>
      </w:r>
      <w:r w:rsidR="00EC1094">
        <w:rPr>
          <w:rFonts w:ascii="標楷體" w:eastAsia="標楷體" w:hAnsi="標楷體" w:cs="Times New Roman" w:hint="eastAsia"/>
          <w:color w:val="000000" w:themeColor="text1"/>
          <w:szCs w:val="24"/>
        </w:rPr>
        <w:t>以降，社會集體認同之轉向而導致的意識形態之競野變更，以及此一意識形態下所導致的政黨極化現象，何以在主流政黨間出現右傾。</w:t>
      </w:r>
      <w:r>
        <w:rPr>
          <w:rFonts w:ascii="標楷體" w:eastAsia="標楷體" w:hAnsi="標楷體" w:cs="Times New Roman" w:hint="eastAsia"/>
          <w:color w:val="000000" w:themeColor="text1"/>
          <w:szCs w:val="24"/>
        </w:rPr>
        <w:t>而訪談的預算預計將給予受訪者交通費</w:t>
      </w:r>
      <w:r w:rsidR="00EC1094" w:rsidRPr="00EC1094">
        <w:rPr>
          <w:rFonts w:ascii="Times New Roman" w:eastAsia="標楷體" w:hAnsi="Times New Roman" w:cs="Times New Roman"/>
          <w:color w:val="000000" w:themeColor="text1"/>
          <w:szCs w:val="24"/>
        </w:rPr>
        <w:t>50</w:t>
      </w:r>
      <w:r w:rsidR="00EC1094">
        <w:rPr>
          <w:rFonts w:ascii="標楷體" w:eastAsia="標楷體" w:hAnsi="標楷體" w:cs="Times New Roman" w:hint="eastAsia"/>
          <w:color w:val="000000" w:themeColor="text1"/>
          <w:szCs w:val="24"/>
        </w:rPr>
        <w:t>元及餐費</w:t>
      </w:r>
      <w:r w:rsidR="00EC1094" w:rsidRPr="00EC1094">
        <w:rPr>
          <w:rFonts w:ascii="Times New Roman" w:eastAsia="標楷體" w:hAnsi="Times New Roman" w:cs="Times New Roman"/>
          <w:color w:val="000000" w:themeColor="text1"/>
          <w:szCs w:val="24"/>
        </w:rPr>
        <w:t>100</w:t>
      </w:r>
      <w:r w:rsidR="00EC1094">
        <w:rPr>
          <w:rFonts w:ascii="標楷體" w:eastAsia="標楷體" w:hAnsi="標楷體" w:cs="Times New Roman" w:hint="eastAsia"/>
          <w:color w:val="000000" w:themeColor="text1"/>
          <w:szCs w:val="24"/>
        </w:rPr>
        <w:t>元，二者合計共</w:t>
      </w:r>
      <w:r w:rsidR="00EC1094" w:rsidRPr="00EC1094">
        <w:rPr>
          <w:rFonts w:ascii="Times New Roman" w:eastAsia="標楷體" w:hAnsi="Times New Roman" w:cs="Times New Roman"/>
          <w:color w:val="000000" w:themeColor="text1"/>
          <w:szCs w:val="24"/>
        </w:rPr>
        <w:t>150*10=1500</w:t>
      </w:r>
      <w:r w:rsidR="00EC1094">
        <w:rPr>
          <w:rFonts w:ascii="標楷體" w:eastAsia="標楷體" w:hAnsi="標楷體" w:cs="Times New Roman" w:hint="eastAsia"/>
          <w:color w:val="000000" w:themeColor="text1"/>
          <w:szCs w:val="24"/>
        </w:rPr>
        <w:t>元。</w:t>
      </w:r>
    </w:p>
    <w:p w14:paraId="7E87B44A" w14:textId="2DCA3E30" w:rsidR="00EC1094" w:rsidRPr="00EC1094" w:rsidRDefault="00EC1094" w:rsidP="00EC1094">
      <w:pPr>
        <w:rPr>
          <w:rFonts w:ascii="標楷體" w:eastAsia="標楷體" w:hAnsi="標楷體" w:cs="Times New Roman" w:hint="eastAsia"/>
          <w:color w:val="000000" w:themeColor="text1"/>
          <w:szCs w:val="24"/>
        </w:rPr>
      </w:pPr>
      <w:r>
        <w:rPr>
          <w:rFonts w:ascii="標楷體" w:eastAsia="標楷體" w:hAnsi="標楷體" w:cs="Times New Roman" w:hint="eastAsia"/>
          <w:color w:val="000000" w:themeColor="text1"/>
          <w:szCs w:val="24"/>
        </w:rPr>
        <w:t xml:space="preserve">  綜上所述，兩項的預算共</w:t>
      </w:r>
      <w:r w:rsidRPr="00EC1094">
        <w:rPr>
          <w:rFonts w:ascii="Times New Roman" w:eastAsia="標楷體" w:hAnsi="Times New Roman" w:cs="Times New Roman"/>
          <w:color w:val="000000" w:themeColor="text1"/>
          <w:szCs w:val="24"/>
        </w:rPr>
        <w:t>1500+2345</w:t>
      </w:r>
      <w:r>
        <w:rPr>
          <w:rFonts w:ascii="Times New Roman" w:eastAsia="標楷體" w:hAnsi="Times New Roman" w:cs="Times New Roman" w:hint="eastAsia"/>
          <w:color w:val="000000" w:themeColor="text1"/>
          <w:szCs w:val="24"/>
        </w:rPr>
        <w:t>=3845</w:t>
      </w:r>
      <w:r>
        <w:rPr>
          <w:rFonts w:ascii="Times New Roman" w:eastAsia="標楷體" w:hAnsi="Times New Roman" w:cs="Times New Roman" w:hint="eastAsia"/>
          <w:color w:val="000000" w:themeColor="text1"/>
          <w:szCs w:val="24"/>
        </w:rPr>
        <w:t>元，為本次社會實踐計畫希望補助之金額部分。</w:t>
      </w:r>
    </w:p>
    <w:p w14:paraId="504CD988" w14:textId="77777777" w:rsidR="00DA413C" w:rsidRPr="00DA413C" w:rsidRDefault="00DA413C" w:rsidP="00DA413C">
      <w:pPr>
        <w:rPr>
          <w:b/>
          <w:bCs/>
        </w:rPr>
      </w:pPr>
    </w:p>
    <w:sectPr w:rsidR="00DA413C" w:rsidRPr="00DA41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6254" w14:textId="77777777" w:rsidR="00504A49" w:rsidRDefault="00504A49" w:rsidP="00BA3389">
      <w:r>
        <w:separator/>
      </w:r>
    </w:p>
  </w:endnote>
  <w:endnote w:type="continuationSeparator" w:id="0">
    <w:p w14:paraId="604EB570" w14:textId="77777777" w:rsidR="00504A49" w:rsidRDefault="00504A49" w:rsidP="00B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1191" w14:textId="77777777" w:rsidR="00504A49" w:rsidRDefault="00504A49" w:rsidP="00BA3389">
      <w:r>
        <w:separator/>
      </w:r>
    </w:p>
  </w:footnote>
  <w:footnote w:type="continuationSeparator" w:id="0">
    <w:p w14:paraId="168C0B94" w14:textId="77777777" w:rsidR="00504A49" w:rsidRDefault="00504A49" w:rsidP="00BA3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40BB3"/>
    <w:multiLevelType w:val="hybridMultilevel"/>
    <w:tmpl w:val="A8D2EE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350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3C"/>
    <w:rsid w:val="0006590D"/>
    <w:rsid w:val="000731FD"/>
    <w:rsid w:val="00225292"/>
    <w:rsid w:val="00371F9B"/>
    <w:rsid w:val="004C4166"/>
    <w:rsid w:val="00504A49"/>
    <w:rsid w:val="0052688F"/>
    <w:rsid w:val="00544AF4"/>
    <w:rsid w:val="005750BC"/>
    <w:rsid w:val="006B2D1A"/>
    <w:rsid w:val="00731420"/>
    <w:rsid w:val="0084748A"/>
    <w:rsid w:val="008D220E"/>
    <w:rsid w:val="00902AEF"/>
    <w:rsid w:val="00BA3389"/>
    <w:rsid w:val="00C60F52"/>
    <w:rsid w:val="00CD536E"/>
    <w:rsid w:val="00CE3F6C"/>
    <w:rsid w:val="00DA413C"/>
    <w:rsid w:val="00EC1094"/>
    <w:rsid w:val="00EC1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DE5F"/>
  <w15:chartTrackingRefBased/>
  <w15:docId w15:val="{2B93385F-2A82-4A25-8343-2FFC56C7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13C"/>
    <w:pPr>
      <w:ind w:leftChars="200" w:left="480"/>
    </w:pPr>
  </w:style>
  <w:style w:type="paragraph" w:styleId="a4">
    <w:name w:val="header"/>
    <w:basedOn w:val="a"/>
    <w:link w:val="a5"/>
    <w:uiPriority w:val="99"/>
    <w:unhideWhenUsed/>
    <w:rsid w:val="00BA3389"/>
    <w:pPr>
      <w:tabs>
        <w:tab w:val="center" w:pos="4153"/>
        <w:tab w:val="right" w:pos="8306"/>
      </w:tabs>
      <w:snapToGrid w:val="0"/>
    </w:pPr>
    <w:rPr>
      <w:sz w:val="20"/>
      <w:szCs w:val="20"/>
    </w:rPr>
  </w:style>
  <w:style w:type="character" w:customStyle="1" w:styleId="a5">
    <w:name w:val="頁首 字元"/>
    <w:basedOn w:val="a0"/>
    <w:link w:val="a4"/>
    <w:uiPriority w:val="99"/>
    <w:rsid w:val="00BA3389"/>
    <w:rPr>
      <w:sz w:val="20"/>
      <w:szCs w:val="20"/>
    </w:rPr>
  </w:style>
  <w:style w:type="paragraph" w:styleId="a6">
    <w:name w:val="footer"/>
    <w:basedOn w:val="a"/>
    <w:link w:val="a7"/>
    <w:uiPriority w:val="99"/>
    <w:unhideWhenUsed/>
    <w:rsid w:val="00BA3389"/>
    <w:pPr>
      <w:tabs>
        <w:tab w:val="center" w:pos="4153"/>
        <w:tab w:val="right" w:pos="8306"/>
      </w:tabs>
      <w:snapToGrid w:val="0"/>
    </w:pPr>
    <w:rPr>
      <w:sz w:val="20"/>
      <w:szCs w:val="20"/>
    </w:rPr>
  </w:style>
  <w:style w:type="character" w:customStyle="1" w:styleId="a7">
    <w:name w:val="頁尾 字元"/>
    <w:basedOn w:val="a0"/>
    <w:link w:val="a6"/>
    <w:uiPriority w:val="99"/>
    <w:rsid w:val="00BA3389"/>
    <w:rPr>
      <w:sz w:val="20"/>
      <w:szCs w:val="20"/>
    </w:rPr>
  </w:style>
  <w:style w:type="table" w:styleId="a8">
    <w:name w:val="Table Grid"/>
    <w:basedOn w:val="a1"/>
    <w:uiPriority w:val="39"/>
    <w:rsid w:val="00BA3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5883">
      <w:bodyDiv w:val="1"/>
      <w:marLeft w:val="0"/>
      <w:marRight w:val="0"/>
      <w:marTop w:val="0"/>
      <w:marBottom w:val="0"/>
      <w:divBdr>
        <w:top w:val="none" w:sz="0" w:space="0" w:color="auto"/>
        <w:left w:val="none" w:sz="0" w:space="0" w:color="auto"/>
        <w:bottom w:val="none" w:sz="0" w:space="0" w:color="auto"/>
        <w:right w:val="none" w:sz="0" w:space="0" w:color="auto"/>
      </w:divBdr>
    </w:div>
    <w:div w:id="589895020">
      <w:bodyDiv w:val="1"/>
      <w:marLeft w:val="0"/>
      <w:marRight w:val="0"/>
      <w:marTop w:val="0"/>
      <w:marBottom w:val="0"/>
      <w:divBdr>
        <w:top w:val="none" w:sz="0" w:space="0" w:color="auto"/>
        <w:left w:val="none" w:sz="0" w:space="0" w:color="auto"/>
        <w:bottom w:val="none" w:sz="0" w:space="0" w:color="auto"/>
        <w:right w:val="none" w:sz="0" w:space="0" w:color="auto"/>
      </w:divBdr>
      <w:divsChild>
        <w:div w:id="1641306794">
          <w:marLeft w:val="0"/>
          <w:marRight w:val="75"/>
          <w:marTop w:val="0"/>
          <w:marBottom w:val="0"/>
          <w:divBdr>
            <w:top w:val="none" w:sz="0" w:space="0" w:color="auto"/>
            <w:left w:val="none" w:sz="0" w:space="0" w:color="auto"/>
            <w:bottom w:val="none" w:sz="0" w:space="0" w:color="auto"/>
            <w:right w:val="none" w:sz="0" w:space="0" w:color="auto"/>
          </w:divBdr>
          <w:divsChild>
            <w:div w:id="1069108715">
              <w:marLeft w:val="0"/>
              <w:marRight w:val="0"/>
              <w:marTop w:val="0"/>
              <w:marBottom w:val="150"/>
              <w:divBdr>
                <w:top w:val="none" w:sz="0" w:space="0" w:color="auto"/>
                <w:left w:val="none" w:sz="0" w:space="0" w:color="auto"/>
                <w:bottom w:val="none" w:sz="0" w:space="0" w:color="auto"/>
                <w:right w:val="none" w:sz="0" w:space="0" w:color="auto"/>
              </w:divBdr>
            </w:div>
          </w:divsChild>
        </w:div>
        <w:div w:id="713846839">
          <w:marLeft w:val="75"/>
          <w:marRight w:val="75"/>
          <w:marTop w:val="0"/>
          <w:marBottom w:val="0"/>
          <w:divBdr>
            <w:top w:val="none" w:sz="0" w:space="0" w:color="auto"/>
            <w:left w:val="none" w:sz="0" w:space="0" w:color="auto"/>
            <w:bottom w:val="none" w:sz="0" w:space="0" w:color="auto"/>
            <w:right w:val="none" w:sz="0" w:space="0" w:color="auto"/>
          </w:divBdr>
          <w:divsChild>
            <w:div w:id="1610970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陳鵬宇</dc:creator>
  <cp:keywords/>
  <dc:description/>
  <cp:lastModifiedBy>陳鵬宇</cp:lastModifiedBy>
  <cp:revision>4</cp:revision>
  <dcterms:created xsi:type="dcterms:W3CDTF">2023-05-08T15:29:00Z</dcterms:created>
  <dcterms:modified xsi:type="dcterms:W3CDTF">2023-05-11T15:57:00Z</dcterms:modified>
</cp:coreProperties>
</file>