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7ECD" w14:textId="774EF72C" w:rsidR="0038111B" w:rsidRDefault="0038111B">
      <w:pPr>
        <w:rPr>
          <w:rFonts w:hint="eastAsia"/>
        </w:rPr>
      </w:pPr>
      <w:r>
        <w:rPr>
          <w:rFonts w:hint="eastAsia"/>
        </w:rPr>
        <w:t>社</w:t>
      </w:r>
      <w:r>
        <w:rPr>
          <w:rFonts w:hint="eastAsia"/>
        </w:rPr>
        <w:t xml:space="preserve">2 </w:t>
      </w:r>
      <w:r>
        <w:rPr>
          <w:rFonts w:hint="eastAsia"/>
        </w:rPr>
        <w:t>江子睿</w:t>
      </w:r>
    </w:p>
    <w:p w14:paraId="4C3F431B" w14:textId="555B87C9" w:rsidR="00CB3148" w:rsidRDefault="00211AD5">
      <w:r>
        <w:t>2023</w:t>
      </w:r>
      <w:r>
        <w:t>秋</w:t>
      </w:r>
      <w:r>
        <w:t xml:space="preserve"> </w:t>
      </w:r>
      <w:r>
        <w:t>社會實踐補助計畫</w:t>
      </w:r>
    </w:p>
    <w:p w14:paraId="126C072A" w14:textId="77777777" w:rsidR="0038111B" w:rsidRDefault="0038111B">
      <w:pPr>
        <w:rPr>
          <w:rFonts w:hint="eastAsia"/>
        </w:rPr>
      </w:pPr>
    </w:p>
    <w:p w14:paraId="31FE3C59" w14:textId="77777777" w:rsidR="00CB3148" w:rsidRDefault="00211AD5">
      <w:r>
        <w:t>時間：</w:t>
      </w:r>
      <w:r>
        <w:t>2023/7/2-2023/7/17 (16</w:t>
      </w:r>
      <w:r>
        <w:t>天</w:t>
      </w:r>
      <w:r>
        <w:t>)</w:t>
      </w:r>
    </w:p>
    <w:p w14:paraId="015DFE7F" w14:textId="77777777" w:rsidR="00CB3148" w:rsidRDefault="00211AD5">
      <w:r>
        <w:t>地點：泰國清邁</w:t>
      </w:r>
    </w:p>
    <w:p w14:paraId="0DF911A7" w14:textId="77777777" w:rsidR="00CB3148" w:rsidRDefault="00211AD5">
      <w:pPr>
        <w:rPr>
          <w:sz w:val="24"/>
          <w:szCs w:val="24"/>
        </w:rPr>
      </w:pPr>
      <w:r>
        <w:rPr>
          <w:sz w:val="24"/>
          <w:szCs w:val="24"/>
        </w:rPr>
        <w:t>一、實踐動機</w:t>
      </w:r>
    </w:p>
    <w:p w14:paraId="2726DA09" w14:textId="77777777" w:rsidR="00CB3148" w:rsidRDefault="00211AD5">
      <w:r>
        <w:t>泰國一直以是許多人自由行選擇的目的地之一，其物美價廉、獨特的文化歷史、東南亞風味的特色佳餚以及極度開放包容的人文風情，使得泰國觀光產業得以蓬勃發展。但在</w:t>
      </w:r>
      <w:r>
        <w:t>2020</w:t>
      </w:r>
      <w:r>
        <w:t>年</w:t>
      </w:r>
      <w:r>
        <w:t>COVID-19</w:t>
      </w:r>
      <w:proofErr w:type="gramStart"/>
      <w:r>
        <w:t>疫情的</w:t>
      </w:r>
      <w:proofErr w:type="gramEnd"/>
      <w:r>
        <w:t>影響下，泰國的觀光經濟收到極大的衝擊。同時，泰國於</w:t>
      </w:r>
      <w:r>
        <w:t>2018</w:t>
      </w:r>
      <w:r>
        <w:t>年通過藥用大麻合法化，並於</w:t>
      </w:r>
      <w:r>
        <w:t>2022</w:t>
      </w:r>
      <w:r>
        <w:t>年</w:t>
      </w:r>
      <w:r>
        <w:t>6</w:t>
      </w:r>
      <w:r>
        <w:t>月</w:t>
      </w:r>
      <w:r>
        <w:t>9</w:t>
      </w:r>
      <w:r>
        <w:t>日正式開放民衆種植與販售大麻。但娛樂性大麻仍然禁止，並不能於公開場合吸食大麻。台灣也於前幾年嘗試推動醫療用大麻合法化但最終在多方討論後並無通過此項法規。</w:t>
      </w:r>
    </w:p>
    <w:p w14:paraId="18874A40" w14:textId="77777777" w:rsidR="00CB3148" w:rsidRDefault="00211AD5">
      <w:r>
        <w:t>泰國在通過大麻合法化後，市面上開始出現許多產品都加入大麻的元素，更是大大帶</w:t>
      </w:r>
      <w:r>
        <w:t>動了泰國的經濟。在</w:t>
      </w:r>
      <w:r>
        <w:t>2022</w:t>
      </w:r>
      <w:r>
        <w:t>年泰國大麻產業的市場價值有</w:t>
      </w:r>
      <w:r>
        <w:t>2.42</w:t>
      </w:r>
      <w:r>
        <w:t>億美金，預估會於</w:t>
      </w:r>
      <w:r>
        <w:t>2030</w:t>
      </w:r>
      <w:r>
        <w:t>年達到</w:t>
      </w:r>
      <w:r>
        <w:t>90</w:t>
      </w:r>
      <w:r>
        <w:t>億美金的市場價值。從許多新聞媒體的報導中可以看到大麻合法化除了對經濟帶來衝擊之餘，也成為了另一個帶動旅遊業的趨勢吸引許多遊客到當地嘗試大麻相關的產品。但是其有可能帶來的潛在憂患還是另許多當地的組織和國際組織一直關注並引起許多爭議，因為泰國對於大麻管制的法規也存在許多灰色地帶，執法人員的執法狀況也影響整個社會對大麻的使用情況。</w:t>
      </w:r>
      <w:proofErr w:type="gramStart"/>
      <w:r>
        <w:t>此外，</w:t>
      </w:r>
      <w:proofErr w:type="gramEnd"/>
      <w:r>
        <w:t>泰國也即將進行總理選舉因此推行大麻合法化背後的政治動機以及鬥爭也令相關課題變得更為複雜</w:t>
      </w:r>
      <w:r>
        <w:t>。究竟泰國作為亞洲第一個大麻合法化的國家，其相關產業如何在短時間內有如此迅速的發展並且該政策究竟給當地帶來什麼樣的影響。所以我希望可以有機會到當地觀察相關產業的發展以及當地人民對於大麻合法化的態度與行爲。</w:t>
      </w:r>
    </w:p>
    <w:p w14:paraId="19383336" w14:textId="77777777" w:rsidR="00CB3148" w:rsidRDefault="00211AD5">
      <w:r>
        <w:t>對於這一項社會觀察筆者主要針對</w:t>
      </w:r>
      <w:r>
        <w:t>3</w:t>
      </w:r>
      <w:r>
        <w:t>個群體來觀察，分別為在地民眾，在地旅遊業者以及外國遊客。同時也希望可以透過深入訪談的形式來更瞭解這三</w:t>
      </w:r>
      <w:proofErr w:type="gramStart"/>
      <w:r>
        <w:t>個</w:t>
      </w:r>
      <w:proofErr w:type="gramEnd"/>
      <w:r>
        <w:t>群體對於泰國開放大麻產業的態度。</w:t>
      </w:r>
    </w:p>
    <w:p w14:paraId="1C11520F" w14:textId="77777777" w:rsidR="00CB3148" w:rsidRDefault="00211AD5">
      <w:r>
        <w:t>同時我也想藉由這次的自由行更多深入認識當地人的生活及文化，並希望能夠練習自己的泰語口說能力。</w:t>
      </w:r>
    </w:p>
    <w:p w14:paraId="5F85C474" w14:textId="77777777" w:rsidR="00CB3148" w:rsidRDefault="00211AD5">
      <w:pPr>
        <w:rPr>
          <w:sz w:val="24"/>
          <w:szCs w:val="24"/>
        </w:rPr>
      </w:pPr>
      <w:r>
        <w:rPr>
          <w:sz w:val="24"/>
          <w:szCs w:val="24"/>
        </w:rPr>
        <w:t>二、實踐內容</w:t>
      </w:r>
      <w:r>
        <w:rPr>
          <w:sz w:val="24"/>
          <w:szCs w:val="24"/>
        </w:rPr>
        <w:t xml:space="preserve"> </w:t>
      </w:r>
    </w:p>
    <w:tbl>
      <w:tblPr>
        <w:tblStyle w:val="a7"/>
        <w:tblW w:w="9016"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00" w:firstRow="0" w:lastRow="0" w:firstColumn="0" w:lastColumn="0" w:noHBand="0" w:noVBand="1"/>
      </w:tblPr>
      <w:tblGrid>
        <w:gridCol w:w="3005"/>
        <w:gridCol w:w="3005"/>
        <w:gridCol w:w="3006"/>
      </w:tblGrid>
      <w:tr w:rsidR="00CB3148" w14:paraId="3FDCA447" w14:textId="77777777">
        <w:trPr>
          <w:trHeight w:val="664"/>
        </w:trPr>
        <w:tc>
          <w:tcPr>
            <w:tcW w:w="3005" w:type="dxa"/>
          </w:tcPr>
          <w:p w14:paraId="29CE84C6" w14:textId="77777777" w:rsidR="00CB3148" w:rsidRDefault="00211AD5">
            <w:pPr>
              <w:spacing w:line="259" w:lineRule="auto"/>
              <w:rPr>
                <w:sz w:val="24"/>
                <w:szCs w:val="24"/>
              </w:rPr>
            </w:pPr>
            <w:r>
              <w:rPr>
                <w:sz w:val="24"/>
                <w:szCs w:val="24"/>
              </w:rPr>
              <w:t>7/2 D-1</w:t>
            </w:r>
          </w:p>
          <w:p w14:paraId="72C86E01" w14:textId="77777777" w:rsidR="00CB3148" w:rsidRDefault="00211AD5">
            <w:pPr>
              <w:spacing w:line="259" w:lineRule="auto"/>
              <w:rPr>
                <w:sz w:val="24"/>
                <w:szCs w:val="24"/>
              </w:rPr>
            </w:pPr>
            <w:r>
              <w:rPr>
                <w:sz w:val="24"/>
                <w:szCs w:val="24"/>
              </w:rPr>
              <w:t>抵達清邁</w:t>
            </w:r>
          </w:p>
        </w:tc>
        <w:tc>
          <w:tcPr>
            <w:tcW w:w="3005" w:type="dxa"/>
          </w:tcPr>
          <w:p w14:paraId="0E31008C" w14:textId="77777777" w:rsidR="00CB3148" w:rsidRDefault="00211AD5">
            <w:pPr>
              <w:spacing w:line="259" w:lineRule="auto"/>
              <w:rPr>
                <w:sz w:val="24"/>
                <w:szCs w:val="24"/>
              </w:rPr>
            </w:pPr>
            <w:r>
              <w:rPr>
                <w:sz w:val="24"/>
                <w:szCs w:val="24"/>
              </w:rPr>
              <w:t>7</w:t>
            </w:r>
            <w:r>
              <w:rPr>
                <w:sz w:val="24"/>
                <w:szCs w:val="24"/>
              </w:rPr>
              <w:t>/3 D-2</w:t>
            </w:r>
          </w:p>
          <w:p w14:paraId="08EEA8CB" w14:textId="77777777" w:rsidR="00CB3148" w:rsidRDefault="00211AD5">
            <w:pPr>
              <w:spacing w:line="259" w:lineRule="auto"/>
              <w:rPr>
                <w:sz w:val="24"/>
                <w:szCs w:val="24"/>
              </w:rPr>
            </w:pPr>
            <w:r>
              <w:rPr>
                <w:sz w:val="24"/>
                <w:szCs w:val="24"/>
              </w:rPr>
              <w:t xml:space="preserve">Khlong Mae Kha </w:t>
            </w:r>
            <w:proofErr w:type="gramStart"/>
            <w:r>
              <w:rPr>
                <w:sz w:val="24"/>
                <w:szCs w:val="24"/>
              </w:rPr>
              <w:t>清邁水鎮</w:t>
            </w:r>
            <w:proofErr w:type="gramEnd"/>
          </w:p>
        </w:tc>
        <w:tc>
          <w:tcPr>
            <w:tcW w:w="3006" w:type="dxa"/>
          </w:tcPr>
          <w:p w14:paraId="46CE347C" w14:textId="77777777" w:rsidR="00CB3148" w:rsidRDefault="00211AD5">
            <w:pPr>
              <w:spacing w:line="259" w:lineRule="auto"/>
              <w:rPr>
                <w:sz w:val="24"/>
                <w:szCs w:val="24"/>
              </w:rPr>
            </w:pPr>
            <w:r>
              <w:rPr>
                <w:sz w:val="24"/>
                <w:szCs w:val="24"/>
              </w:rPr>
              <w:t xml:space="preserve">7/4-7/5 D-3 to D-4 </w:t>
            </w:r>
          </w:p>
          <w:p w14:paraId="6FC0507C" w14:textId="77777777" w:rsidR="00CB3148" w:rsidRDefault="00211AD5">
            <w:pPr>
              <w:spacing w:line="259" w:lineRule="auto"/>
              <w:rPr>
                <w:sz w:val="24"/>
                <w:szCs w:val="24"/>
              </w:rPr>
            </w:pPr>
            <w:r>
              <w:rPr>
                <w:sz w:val="24"/>
                <w:szCs w:val="24"/>
              </w:rPr>
              <w:t>茵他</w:t>
            </w:r>
            <w:proofErr w:type="gramStart"/>
            <w:r>
              <w:rPr>
                <w:sz w:val="24"/>
                <w:szCs w:val="24"/>
              </w:rPr>
              <w:t>儂</w:t>
            </w:r>
            <w:proofErr w:type="gramEnd"/>
            <w:r>
              <w:rPr>
                <w:sz w:val="24"/>
                <w:szCs w:val="24"/>
              </w:rPr>
              <w:t>國家公園</w:t>
            </w:r>
          </w:p>
        </w:tc>
      </w:tr>
      <w:tr w:rsidR="00CB3148" w14:paraId="3400D4AB" w14:textId="77777777">
        <w:trPr>
          <w:trHeight w:val="1688"/>
        </w:trPr>
        <w:tc>
          <w:tcPr>
            <w:tcW w:w="3005" w:type="dxa"/>
          </w:tcPr>
          <w:p w14:paraId="0E96FBC2" w14:textId="77777777" w:rsidR="00CB3148" w:rsidRDefault="00211AD5">
            <w:pPr>
              <w:spacing w:line="259" w:lineRule="auto"/>
              <w:rPr>
                <w:sz w:val="24"/>
                <w:szCs w:val="24"/>
              </w:rPr>
            </w:pPr>
            <w:r>
              <w:rPr>
                <w:sz w:val="24"/>
                <w:szCs w:val="24"/>
              </w:rPr>
              <w:t>7/6-7/8 D-</w:t>
            </w:r>
            <w:proofErr w:type="gramStart"/>
            <w:r>
              <w:rPr>
                <w:sz w:val="24"/>
                <w:szCs w:val="24"/>
              </w:rPr>
              <w:t>5  to</w:t>
            </w:r>
            <w:proofErr w:type="gramEnd"/>
            <w:r>
              <w:rPr>
                <w:sz w:val="24"/>
                <w:szCs w:val="24"/>
              </w:rPr>
              <w:t xml:space="preserve"> D-7</w:t>
            </w:r>
          </w:p>
          <w:p w14:paraId="5144EB49" w14:textId="77777777" w:rsidR="00CB3148" w:rsidRDefault="00211AD5">
            <w:pPr>
              <w:spacing w:line="259" w:lineRule="auto"/>
              <w:rPr>
                <w:sz w:val="24"/>
                <w:szCs w:val="24"/>
              </w:rPr>
            </w:pPr>
            <w:r>
              <w:rPr>
                <w:sz w:val="24"/>
                <w:szCs w:val="24"/>
              </w:rPr>
              <w:t>出發至</w:t>
            </w:r>
            <w:proofErr w:type="gramStart"/>
            <w:r>
              <w:rPr>
                <w:sz w:val="24"/>
                <w:szCs w:val="24"/>
              </w:rPr>
              <w:t>湄康崩村</w:t>
            </w:r>
            <w:proofErr w:type="gramEnd"/>
          </w:p>
          <w:p w14:paraId="5C0336FE" w14:textId="77777777" w:rsidR="00CB3148" w:rsidRDefault="00CB3148">
            <w:pPr>
              <w:rPr>
                <w:sz w:val="24"/>
                <w:szCs w:val="24"/>
              </w:rPr>
            </w:pPr>
          </w:p>
          <w:p w14:paraId="0261A88F" w14:textId="77777777" w:rsidR="00CB3148" w:rsidRDefault="00CB3148">
            <w:pPr>
              <w:rPr>
                <w:sz w:val="24"/>
                <w:szCs w:val="24"/>
              </w:rPr>
            </w:pPr>
          </w:p>
        </w:tc>
        <w:tc>
          <w:tcPr>
            <w:tcW w:w="3005" w:type="dxa"/>
          </w:tcPr>
          <w:p w14:paraId="778C3A35" w14:textId="77777777" w:rsidR="00CB3148" w:rsidRDefault="00211AD5">
            <w:pPr>
              <w:spacing w:line="259" w:lineRule="auto"/>
              <w:rPr>
                <w:sz w:val="24"/>
                <w:szCs w:val="24"/>
              </w:rPr>
            </w:pPr>
            <w:r>
              <w:rPr>
                <w:sz w:val="24"/>
                <w:szCs w:val="24"/>
              </w:rPr>
              <w:t>7/10-7/16 D-9 to D-15</w:t>
            </w:r>
          </w:p>
          <w:p w14:paraId="59A1EF4D" w14:textId="77777777" w:rsidR="00CB3148" w:rsidRDefault="00211AD5">
            <w:pPr>
              <w:spacing w:line="259" w:lineRule="auto"/>
              <w:rPr>
                <w:sz w:val="24"/>
                <w:szCs w:val="24"/>
              </w:rPr>
            </w:pPr>
            <w:r>
              <w:rPr>
                <w:sz w:val="24"/>
                <w:szCs w:val="24"/>
              </w:rPr>
              <w:t>回到</w:t>
            </w:r>
            <w:proofErr w:type="gramStart"/>
            <w:r>
              <w:rPr>
                <w:sz w:val="24"/>
                <w:szCs w:val="24"/>
              </w:rPr>
              <w:t>清邁舊城區</w:t>
            </w:r>
            <w:proofErr w:type="gramEnd"/>
            <w:r>
              <w:rPr>
                <w:sz w:val="24"/>
                <w:szCs w:val="24"/>
              </w:rPr>
              <w:t>、清邁夜市、蘭納古城、柴迪隆寺、參觀清邁大學、</w:t>
            </w:r>
            <w:proofErr w:type="gramStart"/>
            <w:r>
              <w:rPr>
                <w:sz w:val="24"/>
                <w:szCs w:val="24"/>
              </w:rPr>
              <w:t>素貼山</w:t>
            </w:r>
            <w:proofErr w:type="gramEnd"/>
            <w:r>
              <w:rPr>
                <w:sz w:val="24"/>
                <w:szCs w:val="24"/>
              </w:rPr>
              <w:t>與雙龍寺</w:t>
            </w:r>
          </w:p>
        </w:tc>
        <w:tc>
          <w:tcPr>
            <w:tcW w:w="3006" w:type="dxa"/>
          </w:tcPr>
          <w:p w14:paraId="34664B0B" w14:textId="77777777" w:rsidR="00CB3148" w:rsidRDefault="00211AD5">
            <w:pPr>
              <w:spacing w:line="259" w:lineRule="auto"/>
              <w:rPr>
                <w:sz w:val="24"/>
                <w:szCs w:val="24"/>
              </w:rPr>
            </w:pPr>
            <w:r>
              <w:rPr>
                <w:sz w:val="24"/>
                <w:szCs w:val="24"/>
              </w:rPr>
              <w:t>7/17 D-16</w:t>
            </w:r>
          </w:p>
          <w:p w14:paraId="5359B851" w14:textId="77777777" w:rsidR="00CB3148" w:rsidRDefault="00211AD5">
            <w:pPr>
              <w:spacing w:line="259" w:lineRule="auto"/>
              <w:rPr>
                <w:sz w:val="24"/>
                <w:szCs w:val="24"/>
              </w:rPr>
            </w:pPr>
            <w:r>
              <w:rPr>
                <w:sz w:val="24"/>
                <w:szCs w:val="24"/>
              </w:rPr>
              <w:t>回程</w:t>
            </w:r>
          </w:p>
        </w:tc>
      </w:tr>
    </w:tbl>
    <w:p w14:paraId="1EEB6469" w14:textId="77777777" w:rsidR="00CB3148" w:rsidRDefault="00CB3148"/>
    <w:p w14:paraId="4777E424" w14:textId="77777777" w:rsidR="00CB3148" w:rsidRDefault="00211AD5">
      <w:pPr>
        <w:spacing w:before="240" w:after="0"/>
      </w:pPr>
      <w:r>
        <w:lastRenderedPageBreak/>
        <w:t>大麻產業觀察進行方式主要會透過在地觀察以及深入訪談（當地人和遊客）。以觀察大麻的販售地點分佈及帶有大麻元素的產品來了解對於大大麻的接受度。並以深入訪談當地人與遊客來瞭解對於發展大麻產業的政策帶有怎麼樣的態度與其是否會有參與在當中的行為。</w:t>
      </w:r>
    </w:p>
    <w:p w14:paraId="5D78044E" w14:textId="77777777" w:rsidR="00CB3148" w:rsidRDefault="00CB3148">
      <w:pPr>
        <w:spacing w:before="240" w:after="0"/>
      </w:pPr>
    </w:p>
    <w:p w14:paraId="604A0C43" w14:textId="77777777" w:rsidR="00CB3148" w:rsidRDefault="00211AD5">
      <w:pPr>
        <w:spacing w:before="240" w:after="0"/>
      </w:pPr>
      <w:proofErr w:type="gramStart"/>
      <w:r>
        <w:t>＊</w:t>
      </w:r>
      <w:proofErr w:type="gramEnd"/>
      <w:r>
        <w:t>附上清邁大麻商店分佈圖</w:t>
      </w:r>
      <w:r>
        <w:t xml:space="preserve">        </w:t>
      </w:r>
      <w:r>
        <w:rPr>
          <w:noProof/>
        </w:rPr>
        <w:drawing>
          <wp:anchor distT="0" distB="0" distL="114300" distR="114300" simplePos="0" relativeHeight="251658240" behindDoc="0" locked="0" layoutInCell="1" hidden="0" allowOverlap="1" wp14:anchorId="6B09D11F" wp14:editId="72A87012">
            <wp:simplePos x="0" y="0"/>
            <wp:positionH relativeFrom="column">
              <wp:posOffset>-389254</wp:posOffset>
            </wp:positionH>
            <wp:positionV relativeFrom="paragraph">
              <wp:posOffset>219075</wp:posOffset>
            </wp:positionV>
            <wp:extent cx="3028315" cy="2626360"/>
            <wp:effectExtent l="0" t="0" r="0" b="0"/>
            <wp:wrapTopAndBottom distT="0" dist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028315" cy="26263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E04C43" wp14:editId="31DA8B92">
            <wp:simplePos x="0" y="0"/>
            <wp:positionH relativeFrom="column">
              <wp:posOffset>2747010</wp:posOffset>
            </wp:positionH>
            <wp:positionV relativeFrom="paragraph">
              <wp:posOffset>445769</wp:posOffset>
            </wp:positionV>
            <wp:extent cx="3298825" cy="2321560"/>
            <wp:effectExtent l="0" t="0" r="0" b="0"/>
            <wp:wrapTopAndBottom distT="0" distB="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3298825" cy="2321560"/>
                    </a:xfrm>
                    <a:prstGeom prst="rect">
                      <a:avLst/>
                    </a:prstGeom>
                    <a:ln/>
                  </pic:spPr>
                </pic:pic>
              </a:graphicData>
            </a:graphic>
          </wp:anchor>
        </w:drawing>
      </w:r>
    </w:p>
    <w:p w14:paraId="13C53DB6" w14:textId="77777777" w:rsidR="00CB3148" w:rsidRDefault="00211AD5">
      <w:pPr>
        <w:spacing w:before="240" w:after="0"/>
      </w:pPr>
      <w:r>
        <w:t xml:space="preserve">                                        </w:t>
      </w:r>
    </w:p>
    <w:p w14:paraId="10DD1AA7" w14:textId="77777777" w:rsidR="00CB3148" w:rsidRDefault="00211AD5">
      <w:pPr>
        <w:rPr>
          <w:sz w:val="24"/>
          <w:szCs w:val="24"/>
        </w:rPr>
      </w:pPr>
      <w:r>
        <w:rPr>
          <w:sz w:val="24"/>
          <w:szCs w:val="24"/>
        </w:rPr>
        <w:t>三、預期收穫</w:t>
      </w:r>
    </w:p>
    <w:p w14:paraId="0D54409A" w14:textId="77777777" w:rsidR="00CB3148" w:rsidRDefault="00211AD5">
      <w:r>
        <w:t>1.</w:t>
      </w:r>
      <w:r>
        <w:t>透過自助旅行能夠提升獨立面對及處理問題的能力，更深入了解及體驗當地人的生活</w:t>
      </w:r>
    </w:p>
    <w:p w14:paraId="743F15CE" w14:textId="77777777" w:rsidR="00CB3148" w:rsidRDefault="00211AD5">
      <w:r>
        <w:t>2.</w:t>
      </w:r>
      <w:r>
        <w:t>多練習泰語口說能力，勇敢開口與當地人溝通</w:t>
      </w:r>
    </w:p>
    <w:p w14:paraId="33347314" w14:textId="77777777" w:rsidR="00CB3148" w:rsidRDefault="00211AD5">
      <w:r>
        <w:t>3.</w:t>
      </w:r>
      <w:r>
        <w:t>觀察清邁旅遊業</w:t>
      </w:r>
      <w:proofErr w:type="gramStart"/>
      <w:r>
        <w:t>疫情後</w:t>
      </w:r>
      <w:proofErr w:type="gramEnd"/>
      <w:r>
        <w:t>復甦的情況，</w:t>
      </w:r>
      <w:proofErr w:type="gramStart"/>
      <w:r>
        <w:t>疫情後</w:t>
      </w:r>
      <w:proofErr w:type="gramEnd"/>
      <w:r>
        <w:t>旅遊業是否與</w:t>
      </w:r>
      <w:proofErr w:type="gramStart"/>
      <w:r>
        <w:t>疫情前</w:t>
      </w:r>
      <w:proofErr w:type="gramEnd"/>
      <w:r>
        <w:t>有所不同</w:t>
      </w:r>
    </w:p>
    <w:p w14:paraId="7E2F87D3" w14:textId="77777777" w:rsidR="00CB3148" w:rsidRDefault="00211AD5">
      <w:r>
        <w:t>5.</w:t>
      </w:r>
      <w:r>
        <w:t>認識大麻相關產業，泰國大麻合法化對當地人民及遊客的態度與行為是否有影響。大麻產業是否真的帶來那麼多正面的效應，政府為何如此大力的推動相關產業。</w:t>
      </w:r>
    </w:p>
    <w:p w14:paraId="007AA763" w14:textId="77777777" w:rsidR="00CB3148" w:rsidRDefault="00211AD5">
      <w:pPr>
        <w:spacing w:before="240"/>
        <w:rPr>
          <w:sz w:val="24"/>
          <w:szCs w:val="24"/>
        </w:rPr>
      </w:pPr>
      <w:r>
        <w:rPr>
          <w:sz w:val="24"/>
          <w:szCs w:val="24"/>
        </w:rPr>
        <w:t>四、實踐經費</w:t>
      </w:r>
    </w:p>
    <w:p w14:paraId="7C742CA5" w14:textId="77777777" w:rsidR="00CB3148" w:rsidRDefault="00211AD5">
      <w:pPr>
        <w:pBdr>
          <w:top w:val="nil"/>
          <w:left w:val="nil"/>
          <w:bottom w:val="nil"/>
          <w:right w:val="nil"/>
          <w:between w:val="nil"/>
        </w:pBdr>
        <w:ind w:left="804"/>
        <w:rPr>
          <w:color w:val="000000"/>
        </w:rPr>
      </w:pPr>
      <w:r>
        <w:rPr>
          <w:rFonts w:eastAsia="Calibri"/>
          <w:color w:val="000000"/>
        </w:rPr>
        <w:t>預計</w:t>
      </w:r>
      <w:r>
        <w:rPr>
          <w:rFonts w:eastAsia="Calibri"/>
          <w:color w:val="000000"/>
        </w:rPr>
        <w:t>16</w:t>
      </w:r>
      <w:r>
        <w:rPr>
          <w:rFonts w:eastAsia="Calibri"/>
          <w:color w:val="000000"/>
        </w:rPr>
        <w:t>天旅行經費：</w:t>
      </w:r>
    </w:p>
    <w:tbl>
      <w:tblPr>
        <w:tblStyle w:val="a8"/>
        <w:tblW w:w="9016" w:type="dxa"/>
        <w:tblBorders>
          <w:top w:val="single" w:sz="4" w:space="0" w:color="666666"/>
          <w:left w:val="single" w:sz="4" w:space="0" w:color="000000"/>
          <w:bottom w:val="single" w:sz="4" w:space="0" w:color="666666"/>
          <w:right w:val="single" w:sz="4" w:space="0" w:color="000000"/>
          <w:insideH w:val="single" w:sz="4" w:space="0" w:color="666666"/>
          <w:insideV w:val="single" w:sz="4" w:space="0" w:color="666666"/>
        </w:tblBorders>
        <w:tblLayout w:type="fixed"/>
        <w:tblLook w:val="0400" w:firstRow="0" w:lastRow="0" w:firstColumn="0" w:lastColumn="0" w:noHBand="0" w:noVBand="1"/>
      </w:tblPr>
      <w:tblGrid>
        <w:gridCol w:w="2405"/>
        <w:gridCol w:w="4253"/>
        <w:gridCol w:w="2358"/>
      </w:tblGrid>
      <w:tr w:rsidR="00CB3148" w14:paraId="7FF0CABC" w14:textId="77777777">
        <w:tc>
          <w:tcPr>
            <w:tcW w:w="2405" w:type="dxa"/>
          </w:tcPr>
          <w:p w14:paraId="0FE1B22D" w14:textId="77777777" w:rsidR="00CB3148" w:rsidRDefault="00211AD5">
            <w:pPr>
              <w:jc w:val="center"/>
              <w:rPr>
                <w:b/>
              </w:rPr>
            </w:pPr>
            <w:r>
              <w:rPr>
                <w:b/>
              </w:rPr>
              <w:t>花費</w:t>
            </w:r>
          </w:p>
        </w:tc>
        <w:tc>
          <w:tcPr>
            <w:tcW w:w="4253" w:type="dxa"/>
          </w:tcPr>
          <w:p w14:paraId="607D2D81" w14:textId="77777777" w:rsidR="00CB3148" w:rsidRDefault="00211AD5">
            <w:pPr>
              <w:jc w:val="center"/>
              <w:rPr>
                <w:b/>
              </w:rPr>
            </w:pPr>
            <w:r>
              <w:rPr>
                <w:b/>
              </w:rPr>
              <w:t>花費金額</w:t>
            </w:r>
          </w:p>
        </w:tc>
        <w:tc>
          <w:tcPr>
            <w:tcW w:w="2358" w:type="dxa"/>
          </w:tcPr>
          <w:p w14:paraId="3D47A0CE" w14:textId="77777777" w:rsidR="00CB3148" w:rsidRDefault="00211AD5">
            <w:pPr>
              <w:pBdr>
                <w:top w:val="nil"/>
                <w:left w:val="nil"/>
                <w:bottom w:val="nil"/>
                <w:right w:val="nil"/>
                <w:between w:val="nil"/>
              </w:pBdr>
              <w:spacing w:after="160" w:line="259" w:lineRule="auto"/>
              <w:jc w:val="center"/>
              <w:rPr>
                <w:b/>
                <w:color w:val="000000"/>
              </w:rPr>
            </w:pPr>
            <w:r>
              <w:rPr>
                <w:rFonts w:eastAsia="Calibri"/>
                <w:b/>
                <w:color w:val="000000"/>
              </w:rPr>
              <w:t>註明</w:t>
            </w:r>
          </w:p>
        </w:tc>
      </w:tr>
      <w:tr w:rsidR="00CB3148" w14:paraId="4E66544D" w14:textId="77777777">
        <w:tc>
          <w:tcPr>
            <w:tcW w:w="2405" w:type="dxa"/>
          </w:tcPr>
          <w:p w14:paraId="539E8E93" w14:textId="77777777" w:rsidR="00CB3148" w:rsidRDefault="00211AD5">
            <w:pPr>
              <w:jc w:val="center"/>
            </w:pPr>
            <w:r>
              <w:t>機票</w:t>
            </w:r>
          </w:p>
        </w:tc>
        <w:tc>
          <w:tcPr>
            <w:tcW w:w="4253" w:type="dxa"/>
          </w:tcPr>
          <w:p w14:paraId="04D0760C" w14:textId="77777777" w:rsidR="00CB3148" w:rsidRDefault="00211AD5">
            <w:pPr>
              <w:jc w:val="center"/>
            </w:pPr>
            <w:r>
              <w:t>6,640</w:t>
            </w:r>
            <w:r>
              <w:t>新臺幣</w:t>
            </w:r>
          </w:p>
        </w:tc>
        <w:tc>
          <w:tcPr>
            <w:tcW w:w="2358" w:type="dxa"/>
          </w:tcPr>
          <w:p w14:paraId="4C4D5944" w14:textId="77777777" w:rsidR="00CB3148" w:rsidRDefault="00211AD5">
            <w:pPr>
              <w:pBdr>
                <w:top w:val="nil"/>
                <w:left w:val="nil"/>
                <w:bottom w:val="nil"/>
                <w:right w:val="nil"/>
                <w:between w:val="nil"/>
              </w:pBdr>
              <w:spacing w:after="160" w:line="259" w:lineRule="auto"/>
              <w:jc w:val="center"/>
              <w:rPr>
                <w:color w:val="000000"/>
              </w:rPr>
            </w:pPr>
            <w:r>
              <w:rPr>
                <w:rFonts w:eastAsia="Calibri"/>
                <w:color w:val="000000"/>
              </w:rPr>
              <w:t>來回程</w:t>
            </w:r>
            <w:r>
              <w:rPr>
                <w:rFonts w:eastAsia="Calibri"/>
                <w:color w:val="000000"/>
              </w:rPr>
              <w:t>+</w:t>
            </w:r>
            <w:r>
              <w:rPr>
                <w:rFonts w:eastAsia="Calibri"/>
                <w:color w:val="000000"/>
              </w:rPr>
              <w:t>稅金</w:t>
            </w:r>
          </w:p>
        </w:tc>
      </w:tr>
      <w:tr w:rsidR="00CB3148" w14:paraId="6FDB48B8" w14:textId="77777777">
        <w:tc>
          <w:tcPr>
            <w:tcW w:w="2405" w:type="dxa"/>
          </w:tcPr>
          <w:p w14:paraId="46BCFC91" w14:textId="77777777" w:rsidR="00CB3148" w:rsidRDefault="00211AD5">
            <w:pPr>
              <w:pBdr>
                <w:top w:val="nil"/>
                <w:left w:val="nil"/>
                <w:bottom w:val="nil"/>
                <w:right w:val="nil"/>
                <w:between w:val="nil"/>
              </w:pBdr>
              <w:spacing w:after="160" w:line="259" w:lineRule="auto"/>
              <w:jc w:val="center"/>
              <w:rPr>
                <w:color w:val="000000"/>
              </w:rPr>
            </w:pPr>
            <w:r>
              <w:rPr>
                <w:rFonts w:eastAsia="Calibri"/>
                <w:color w:val="000000"/>
              </w:rPr>
              <w:t>住宿</w:t>
            </w:r>
          </w:p>
        </w:tc>
        <w:tc>
          <w:tcPr>
            <w:tcW w:w="4253" w:type="dxa"/>
          </w:tcPr>
          <w:p w14:paraId="5B322469" w14:textId="77777777" w:rsidR="00CB3148" w:rsidRDefault="00211AD5">
            <w:pPr>
              <w:pBdr>
                <w:top w:val="nil"/>
                <w:left w:val="nil"/>
                <w:bottom w:val="nil"/>
                <w:right w:val="nil"/>
                <w:between w:val="nil"/>
              </w:pBdr>
              <w:spacing w:line="259" w:lineRule="auto"/>
              <w:jc w:val="center"/>
              <w:rPr>
                <w:color w:val="000000"/>
              </w:rPr>
            </w:pPr>
            <w:proofErr w:type="gramStart"/>
            <w:r>
              <w:rPr>
                <w:rFonts w:eastAsia="Calibri"/>
                <w:color w:val="000000"/>
              </w:rPr>
              <w:t>＊</w:t>
            </w:r>
            <w:proofErr w:type="gramEnd"/>
            <w:r>
              <w:rPr>
                <w:rFonts w:eastAsia="Calibri"/>
                <w:color w:val="000000"/>
              </w:rPr>
              <w:t>粗估</w:t>
            </w:r>
            <w:r>
              <w:rPr>
                <w:rFonts w:eastAsia="Calibri"/>
                <w:color w:val="000000"/>
              </w:rPr>
              <w:t>7,500</w:t>
            </w:r>
            <w:r>
              <w:rPr>
                <w:rFonts w:eastAsia="Calibri"/>
                <w:color w:val="000000"/>
              </w:rPr>
              <w:t>泰銖</w:t>
            </w:r>
          </w:p>
          <w:p w14:paraId="2DABB2E7" w14:textId="77777777" w:rsidR="00CB3148" w:rsidRDefault="00211AD5">
            <w:pPr>
              <w:pBdr>
                <w:top w:val="nil"/>
                <w:left w:val="nil"/>
                <w:bottom w:val="nil"/>
                <w:right w:val="nil"/>
                <w:between w:val="nil"/>
              </w:pBdr>
              <w:spacing w:after="160" w:line="259" w:lineRule="auto"/>
              <w:jc w:val="center"/>
              <w:rPr>
                <w:color w:val="000000"/>
              </w:rPr>
            </w:pPr>
            <w:r>
              <w:rPr>
                <w:rFonts w:eastAsia="Calibri"/>
                <w:color w:val="000000"/>
              </w:rPr>
              <w:t>兌換臺幣</w:t>
            </w:r>
            <w:r>
              <w:rPr>
                <w:rFonts w:eastAsia="Calibri"/>
                <w:color w:val="000000"/>
              </w:rPr>
              <w:t>:7,500÷1.11=6,758</w:t>
            </w:r>
          </w:p>
        </w:tc>
        <w:tc>
          <w:tcPr>
            <w:tcW w:w="2358" w:type="dxa"/>
          </w:tcPr>
          <w:p w14:paraId="2EFB0AD5" w14:textId="77777777" w:rsidR="00CB3148" w:rsidRDefault="00211AD5">
            <w:pPr>
              <w:pBdr>
                <w:top w:val="nil"/>
                <w:left w:val="nil"/>
                <w:bottom w:val="nil"/>
                <w:right w:val="nil"/>
                <w:between w:val="nil"/>
              </w:pBdr>
              <w:spacing w:after="160" w:line="259" w:lineRule="auto"/>
              <w:jc w:val="center"/>
              <w:rPr>
                <w:color w:val="000000"/>
              </w:rPr>
            </w:pPr>
            <w:r>
              <w:rPr>
                <w:rFonts w:eastAsia="Calibri"/>
                <w:color w:val="000000"/>
              </w:rPr>
              <w:t>500</w:t>
            </w:r>
            <w:r>
              <w:rPr>
                <w:rFonts w:eastAsia="Calibri"/>
                <w:color w:val="000000"/>
              </w:rPr>
              <w:t>泰銖</w:t>
            </w:r>
            <w:r>
              <w:rPr>
                <w:rFonts w:eastAsia="Calibri"/>
                <w:color w:val="000000"/>
              </w:rPr>
              <w:t>×15</w:t>
            </w:r>
            <w:r>
              <w:rPr>
                <w:rFonts w:eastAsia="Calibri"/>
                <w:color w:val="000000"/>
              </w:rPr>
              <w:t>晚</w:t>
            </w:r>
          </w:p>
        </w:tc>
      </w:tr>
      <w:tr w:rsidR="00CB3148" w14:paraId="608B1E46" w14:textId="77777777">
        <w:tc>
          <w:tcPr>
            <w:tcW w:w="2405" w:type="dxa"/>
          </w:tcPr>
          <w:p w14:paraId="4A81B5A7" w14:textId="77777777" w:rsidR="00CB3148" w:rsidRDefault="00211AD5">
            <w:pPr>
              <w:pBdr>
                <w:top w:val="nil"/>
                <w:left w:val="nil"/>
                <w:bottom w:val="nil"/>
                <w:right w:val="nil"/>
                <w:between w:val="nil"/>
              </w:pBdr>
              <w:spacing w:after="160" w:line="259" w:lineRule="auto"/>
              <w:jc w:val="center"/>
              <w:rPr>
                <w:color w:val="000000"/>
              </w:rPr>
            </w:pPr>
            <w:r>
              <w:rPr>
                <w:rFonts w:eastAsia="Calibri"/>
                <w:color w:val="000000"/>
              </w:rPr>
              <w:t>保險</w:t>
            </w:r>
          </w:p>
        </w:tc>
        <w:tc>
          <w:tcPr>
            <w:tcW w:w="4253" w:type="dxa"/>
          </w:tcPr>
          <w:p w14:paraId="6D22966A" w14:textId="77777777" w:rsidR="00CB3148" w:rsidRDefault="00211AD5">
            <w:pPr>
              <w:pBdr>
                <w:top w:val="nil"/>
                <w:left w:val="nil"/>
                <w:bottom w:val="nil"/>
                <w:right w:val="nil"/>
                <w:between w:val="nil"/>
              </w:pBdr>
              <w:spacing w:after="160" w:line="259" w:lineRule="auto"/>
              <w:jc w:val="center"/>
              <w:rPr>
                <w:color w:val="000000"/>
              </w:rPr>
            </w:pPr>
            <w:r>
              <w:rPr>
                <w:rFonts w:eastAsia="Calibri"/>
                <w:color w:val="000000"/>
              </w:rPr>
              <w:t>粗估</w:t>
            </w:r>
            <w:r>
              <w:rPr>
                <w:rFonts w:eastAsia="Calibri"/>
                <w:color w:val="000000"/>
              </w:rPr>
              <w:t>1,500</w:t>
            </w:r>
            <w:r>
              <w:rPr>
                <w:rFonts w:eastAsia="Calibri"/>
                <w:color w:val="000000"/>
              </w:rPr>
              <w:t>新臺幣</w:t>
            </w:r>
          </w:p>
        </w:tc>
        <w:tc>
          <w:tcPr>
            <w:tcW w:w="2358" w:type="dxa"/>
          </w:tcPr>
          <w:p w14:paraId="62F15D09" w14:textId="77777777" w:rsidR="00CB3148" w:rsidRDefault="00CB3148">
            <w:pPr>
              <w:pBdr>
                <w:top w:val="nil"/>
                <w:left w:val="nil"/>
                <w:bottom w:val="nil"/>
                <w:right w:val="nil"/>
                <w:between w:val="nil"/>
              </w:pBdr>
              <w:spacing w:after="160" w:line="259" w:lineRule="auto"/>
              <w:rPr>
                <w:color w:val="000000"/>
              </w:rPr>
            </w:pPr>
          </w:p>
        </w:tc>
      </w:tr>
      <w:tr w:rsidR="00CB3148" w14:paraId="5D3B05D1" w14:textId="77777777">
        <w:tc>
          <w:tcPr>
            <w:tcW w:w="2405" w:type="dxa"/>
          </w:tcPr>
          <w:p w14:paraId="541554DF" w14:textId="77777777" w:rsidR="00CB3148" w:rsidRDefault="00CB3148">
            <w:pPr>
              <w:pBdr>
                <w:top w:val="nil"/>
                <w:left w:val="nil"/>
                <w:bottom w:val="nil"/>
                <w:right w:val="nil"/>
                <w:between w:val="nil"/>
              </w:pBdr>
              <w:spacing w:after="160" w:line="259" w:lineRule="auto"/>
              <w:jc w:val="center"/>
              <w:rPr>
                <w:color w:val="000000"/>
              </w:rPr>
            </w:pPr>
          </w:p>
        </w:tc>
        <w:tc>
          <w:tcPr>
            <w:tcW w:w="4253" w:type="dxa"/>
          </w:tcPr>
          <w:p w14:paraId="5165C900" w14:textId="77777777" w:rsidR="00CB3148" w:rsidRDefault="00211AD5">
            <w:pPr>
              <w:pBdr>
                <w:top w:val="nil"/>
                <w:left w:val="nil"/>
                <w:bottom w:val="nil"/>
                <w:right w:val="nil"/>
                <w:between w:val="nil"/>
              </w:pBdr>
              <w:spacing w:after="160" w:line="259" w:lineRule="auto"/>
              <w:ind w:left="804"/>
              <w:rPr>
                <w:color w:val="000000"/>
              </w:rPr>
            </w:pPr>
            <w:r>
              <w:rPr>
                <w:rFonts w:eastAsia="Calibri"/>
                <w:color w:val="000000"/>
              </w:rPr>
              <w:t>總計：</w:t>
            </w:r>
            <w:r>
              <w:rPr>
                <w:rFonts w:eastAsia="Calibri"/>
                <w:color w:val="000000"/>
              </w:rPr>
              <w:t>14,8</w:t>
            </w:r>
            <w:r>
              <w:t>98</w:t>
            </w:r>
            <w:r>
              <w:rPr>
                <w:rFonts w:eastAsia="Calibri"/>
                <w:color w:val="000000"/>
              </w:rPr>
              <w:t xml:space="preserve"> </w:t>
            </w:r>
            <w:r>
              <w:rPr>
                <w:rFonts w:eastAsia="Calibri"/>
                <w:color w:val="000000"/>
              </w:rPr>
              <w:t>元</w:t>
            </w:r>
          </w:p>
        </w:tc>
        <w:tc>
          <w:tcPr>
            <w:tcW w:w="2358" w:type="dxa"/>
          </w:tcPr>
          <w:p w14:paraId="48DCE49C" w14:textId="77777777" w:rsidR="00CB3148" w:rsidRDefault="00CB3148">
            <w:pPr>
              <w:pBdr>
                <w:top w:val="nil"/>
                <w:left w:val="nil"/>
                <w:bottom w:val="nil"/>
                <w:right w:val="nil"/>
                <w:between w:val="nil"/>
              </w:pBdr>
              <w:spacing w:after="160" w:line="259" w:lineRule="auto"/>
              <w:rPr>
                <w:color w:val="000000"/>
              </w:rPr>
            </w:pPr>
          </w:p>
        </w:tc>
      </w:tr>
    </w:tbl>
    <w:p w14:paraId="3C5B1844" w14:textId="77777777" w:rsidR="00CB3148" w:rsidRDefault="00CB3148">
      <w:pPr>
        <w:pBdr>
          <w:top w:val="nil"/>
          <w:left w:val="nil"/>
          <w:bottom w:val="nil"/>
          <w:right w:val="nil"/>
          <w:between w:val="nil"/>
        </w:pBdr>
        <w:spacing w:after="0"/>
        <w:ind w:left="804"/>
        <w:rPr>
          <w:color w:val="000000"/>
        </w:rPr>
      </w:pPr>
    </w:p>
    <w:p w14:paraId="0DBEAD6A" w14:textId="77777777" w:rsidR="00CB3148" w:rsidRDefault="00211AD5">
      <w:pPr>
        <w:pBdr>
          <w:top w:val="nil"/>
          <w:left w:val="nil"/>
          <w:bottom w:val="nil"/>
          <w:right w:val="nil"/>
          <w:between w:val="nil"/>
        </w:pBdr>
        <w:ind w:left="804"/>
        <w:rPr>
          <w:color w:val="000000"/>
        </w:rPr>
      </w:pPr>
      <w:proofErr w:type="gramStart"/>
      <w:r>
        <w:rPr>
          <w:rFonts w:eastAsia="Calibri"/>
          <w:color w:val="000000"/>
        </w:rPr>
        <w:lastRenderedPageBreak/>
        <w:t>＊</w:t>
      </w:r>
      <w:proofErr w:type="gramEnd"/>
      <w:r>
        <w:rPr>
          <w:rFonts w:eastAsia="Calibri"/>
          <w:color w:val="000000"/>
        </w:rPr>
        <w:t>以上</w:t>
      </w:r>
      <w:proofErr w:type="gramStart"/>
      <w:r>
        <w:rPr>
          <w:rFonts w:eastAsia="Calibri"/>
          <w:color w:val="000000"/>
        </w:rPr>
        <w:t>費用均以新</w:t>
      </w:r>
      <w:proofErr w:type="gramEnd"/>
      <w:r>
        <w:rPr>
          <w:rFonts w:eastAsia="Calibri"/>
          <w:color w:val="000000"/>
        </w:rPr>
        <w:t>臺幣計算，實際費用會因匯率波動而有所變動</w:t>
      </w:r>
    </w:p>
    <w:p w14:paraId="670F84A3" w14:textId="77777777" w:rsidR="00CB3148" w:rsidRDefault="00211AD5">
      <w:pPr>
        <w:spacing w:before="240"/>
        <w:rPr>
          <w:sz w:val="24"/>
          <w:szCs w:val="24"/>
        </w:rPr>
      </w:pPr>
      <w:r>
        <w:rPr>
          <w:sz w:val="24"/>
          <w:szCs w:val="24"/>
        </w:rPr>
        <w:t>五、期望補助金額</w:t>
      </w:r>
    </w:p>
    <w:p w14:paraId="596045D8" w14:textId="77777777" w:rsidR="00CB3148" w:rsidRDefault="00211AD5">
      <w:r>
        <w:t>希望系上能夠補助機票，住宿及保險的費用，總共為</w:t>
      </w:r>
      <w:r>
        <w:t>14,898</w:t>
      </w:r>
      <w:r>
        <w:t>元新臺幣。</w:t>
      </w:r>
    </w:p>
    <w:p w14:paraId="5D644722" w14:textId="77777777" w:rsidR="00CB3148" w:rsidRDefault="00CB3148"/>
    <w:sectPr w:rsidR="00CB314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57804" w14:textId="77777777" w:rsidR="00211AD5" w:rsidRDefault="00211AD5" w:rsidP="0038111B">
      <w:pPr>
        <w:spacing w:after="0" w:line="240" w:lineRule="auto"/>
      </w:pPr>
      <w:r>
        <w:separator/>
      </w:r>
    </w:p>
  </w:endnote>
  <w:endnote w:type="continuationSeparator" w:id="0">
    <w:p w14:paraId="1153047F" w14:textId="77777777" w:rsidR="00211AD5" w:rsidRDefault="00211AD5" w:rsidP="0038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F2F6" w14:textId="77777777" w:rsidR="00211AD5" w:rsidRDefault="00211AD5" w:rsidP="0038111B">
      <w:pPr>
        <w:spacing w:after="0" w:line="240" w:lineRule="auto"/>
      </w:pPr>
      <w:r>
        <w:separator/>
      </w:r>
    </w:p>
  </w:footnote>
  <w:footnote w:type="continuationSeparator" w:id="0">
    <w:p w14:paraId="0FD7C9B4" w14:textId="77777777" w:rsidR="00211AD5" w:rsidRDefault="00211AD5" w:rsidP="003811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148"/>
    <w:rsid w:val="00211AD5"/>
    <w:rsid w:val="0038111B"/>
    <w:rsid w:val="00CB31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A2C4C"/>
  <w15:docId w15:val="{DCA966A1-0C68-4BB6-A0E4-399AE400E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C162E2"/>
    <w:pPr>
      <w:ind w:left="720"/>
      <w:contextualSpacing/>
    </w:pPr>
  </w:style>
  <w:style w:type="table" w:styleId="a5">
    <w:name w:val="Table Grid"/>
    <w:basedOn w:val="a1"/>
    <w:uiPriority w:val="39"/>
    <w:rsid w:val="00A76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Grid Table 2"/>
    <w:basedOn w:val="a1"/>
    <w:uiPriority w:val="47"/>
    <w:rsid w:val="00C5433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a1"/>
    <w:pPr>
      <w:spacing w:after="0" w:line="240" w:lineRule="auto"/>
    </w:pPr>
    <w:tblPr>
      <w:tblStyleRowBandSize w:val="1"/>
      <w:tblStyleColBandSize w:val="1"/>
    </w:tblPr>
  </w:style>
  <w:style w:type="table" w:customStyle="1" w:styleId="a8">
    <w:basedOn w:val="a1"/>
    <w:pPr>
      <w:spacing w:after="0" w:line="240" w:lineRule="auto"/>
    </w:pPr>
    <w:tblPr>
      <w:tblStyleRowBandSize w:val="1"/>
      <w:tblStyleColBandSize w:val="1"/>
    </w:tblPr>
  </w:style>
  <w:style w:type="paragraph" w:styleId="a9">
    <w:name w:val="header"/>
    <w:basedOn w:val="a"/>
    <w:link w:val="aa"/>
    <w:uiPriority w:val="99"/>
    <w:unhideWhenUsed/>
    <w:rsid w:val="0038111B"/>
    <w:pPr>
      <w:tabs>
        <w:tab w:val="center" w:pos="4153"/>
        <w:tab w:val="right" w:pos="8306"/>
      </w:tabs>
      <w:snapToGrid w:val="0"/>
    </w:pPr>
    <w:rPr>
      <w:sz w:val="20"/>
      <w:szCs w:val="20"/>
    </w:rPr>
  </w:style>
  <w:style w:type="character" w:customStyle="1" w:styleId="aa">
    <w:name w:val="頁首 字元"/>
    <w:basedOn w:val="a0"/>
    <w:link w:val="a9"/>
    <w:uiPriority w:val="99"/>
    <w:rsid w:val="0038111B"/>
    <w:rPr>
      <w:sz w:val="20"/>
      <w:szCs w:val="20"/>
    </w:rPr>
  </w:style>
  <w:style w:type="paragraph" w:styleId="ab">
    <w:name w:val="footer"/>
    <w:basedOn w:val="a"/>
    <w:link w:val="ac"/>
    <w:uiPriority w:val="99"/>
    <w:unhideWhenUsed/>
    <w:rsid w:val="0038111B"/>
    <w:pPr>
      <w:tabs>
        <w:tab w:val="center" w:pos="4153"/>
        <w:tab w:val="right" w:pos="8306"/>
      </w:tabs>
      <w:snapToGrid w:val="0"/>
    </w:pPr>
    <w:rPr>
      <w:sz w:val="20"/>
      <w:szCs w:val="20"/>
    </w:rPr>
  </w:style>
  <w:style w:type="character" w:customStyle="1" w:styleId="ac">
    <w:name w:val="頁尾 字元"/>
    <w:basedOn w:val="a0"/>
    <w:link w:val="ab"/>
    <w:uiPriority w:val="99"/>
    <w:rsid w:val="003811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JL7YODJthQRC16tp6xH44MvSYw==">AMUW2mW01M4+u7x5+oZsaZ1/kQeZwjI+tUDVxjebl0jx2t/Lkrk6Qd6/Lytdzl2Y4ZgFOX3hlkSH0d7XnKYKqYaGmc5ueRo0xwD9xfPSicW/ALmXW/FbKJI=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Kong</dc:creator>
  <cp:lastModifiedBy>user</cp:lastModifiedBy>
  <cp:revision>2</cp:revision>
  <dcterms:created xsi:type="dcterms:W3CDTF">2023-05-02T02:31:00Z</dcterms:created>
  <dcterms:modified xsi:type="dcterms:W3CDTF">2023-05-15T02:21:00Z</dcterms:modified>
</cp:coreProperties>
</file>